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0E4F" w14:textId="029D4B6E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„THERMO FISHER SCIENTIFIC BALTICS“ VARDINĖS STIPENDIJOS</w:t>
      </w:r>
    </w:p>
    <w:p w14:paraId="3D24C0EB" w14:textId="79950C80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SKYRIMO 202</w:t>
      </w:r>
      <w:r w:rsidR="004C031C">
        <w:rPr>
          <w:rFonts w:ascii="Times New Roman" w:hAnsi="Times New Roman" w:cs="Times New Roman"/>
          <w:b/>
          <w:bCs/>
          <w:lang w:val="lt-LT"/>
        </w:rPr>
        <w:t>3</w:t>
      </w:r>
      <w:r w:rsidRPr="00622A77">
        <w:rPr>
          <w:rFonts w:ascii="Times New Roman" w:hAnsi="Times New Roman" w:cs="Times New Roman"/>
          <w:b/>
          <w:bCs/>
          <w:lang w:val="lt-LT"/>
        </w:rPr>
        <w:t>-202</w:t>
      </w:r>
      <w:r w:rsidR="004C031C">
        <w:rPr>
          <w:rFonts w:ascii="Times New Roman" w:hAnsi="Times New Roman" w:cs="Times New Roman"/>
          <w:b/>
          <w:bCs/>
          <w:lang w:val="lt-LT"/>
        </w:rPr>
        <w:t xml:space="preserve">4 </w:t>
      </w:r>
      <w:r w:rsidRPr="00622A77">
        <w:rPr>
          <w:rFonts w:ascii="Times New Roman" w:hAnsi="Times New Roman" w:cs="Times New Roman"/>
          <w:b/>
          <w:bCs/>
          <w:lang w:val="lt-LT"/>
        </w:rPr>
        <w:t>MOKSLO METAMS</w:t>
      </w:r>
    </w:p>
    <w:p w14:paraId="4FB4FD00" w14:textId="6C5CD2B0" w:rsidR="00447CFA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KONKURSO SĄLYGOS</w:t>
      </w:r>
    </w:p>
    <w:p w14:paraId="6D5ABC3E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56E7B7" w14:textId="4B24C3C3" w:rsidR="002E2B37" w:rsidRPr="007829AD" w:rsidRDefault="002E2B37" w:rsidP="002E2B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1.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UAB „Thermo Fisher Scientific Baltics“ tęsdama ilgametį bendradarbiavimą su 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Vilniaus univer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sitetu, kviečia </w:t>
      </w:r>
      <w:r w:rsidR="001A3AF8">
        <w:rPr>
          <w:rFonts w:ascii="Times New Roman" w:hAnsi="Times New Roman" w:cs="Times New Roman"/>
          <w:sz w:val="22"/>
          <w:szCs w:val="22"/>
          <w:lang w:val="lt-LT"/>
        </w:rPr>
        <w:t xml:space="preserve">būsimuosius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VU Gyvybės mokslų centro, Chemijos ir geomokslų fakulteto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,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Medicinos fakulteto bei Matematikos ir informatikos fakulteto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7829AD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1 kurso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magistr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antūros studijų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studentus Bendrovėje atlikti ir parengti ginti antrosios (magistro) studijų pakopos baigiamuosius darbus.</w:t>
      </w:r>
    </w:p>
    <w:p w14:paraId="74045056" w14:textId="13CE64E8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2. Vadovaujantis paskelbtomis konkurso sąlygomis, geriausiems studentams bus skiriamos UAB „Thermo Fisher Scientific Baltics“ vardinės stipendijos.</w:t>
      </w:r>
    </w:p>
    <w:p w14:paraId="648AF2FE" w14:textId="453480B2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</w:t>
      </w:r>
      <w:r w:rsidR="007829AD" w:rsidRPr="007829AD">
        <w:rPr>
          <w:rFonts w:ascii="Times New Roman" w:hAnsi="Times New Roman" w:cs="Times New Roman"/>
          <w:lang w:val="lt-LT"/>
        </w:rPr>
        <w:t>Vilniaus univer</w:t>
      </w:r>
      <w:r w:rsidRPr="007829AD">
        <w:rPr>
          <w:rFonts w:ascii="Times New Roman" w:hAnsi="Times New Roman" w:cs="Times New Roman"/>
          <w:lang w:val="lt-LT"/>
        </w:rPr>
        <w:t>siteto studentus, studijuojančius su biotechnologijomis ar UAB „Thermo Fisher Scientific Baltics“ veikla susijusius mokslus ir kryptingai gilinančius šių sričių žinias.</w:t>
      </w:r>
    </w:p>
    <w:p w14:paraId="4198EEF0" w14:textId="3962EC1A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4. 202</w:t>
      </w:r>
      <w:r w:rsidR="004C031C">
        <w:rPr>
          <w:rFonts w:ascii="Times New Roman" w:hAnsi="Times New Roman" w:cs="Times New Roman"/>
          <w:lang w:val="lt-LT"/>
        </w:rPr>
        <w:t>3</w:t>
      </w:r>
      <w:r w:rsidRPr="007829AD">
        <w:rPr>
          <w:rFonts w:ascii="Times New Roman" w:hAnsi="Times New Roman" w:cs="Times New Roman"/>
          <w:lang w:val="lt-LT"/>
        </w:rPr>
        <w:t>–202</w:t>
      </w:r>
      <w:r w:rsidR="004C031C">
        <w:rPr>
          <w:rFonts w:ascii="Times New Roman" w:hAnsi="Times New Roman" w:cs="Times New Roman"/>
          <w:lang w:val="lt-LT"/>
        </w:rPr>
        <w:t>4</w:t>
      </w:r>
      <w:r w:rsidRPr="007829AD">
        <w:rPr>
          <w:rFonts w:ascii="Times New Roman" w:hAnsi="Times New Roman" w:cs="Times New Roman"/>
          <w:lang w:val="lt-LT"/>
        </w:rPr>
        <w:t xml:space="preserve"> m. Stipendijos, skiriamos antrosios pakopos (magistro) studentams, dydis 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vieniems mokslo metams – </w:t>
      </w:r>
      <w:r w:rsidR="004C031C">
        <w:rPr>
          <w:rFonts w:ascii="Times New Roman" w:hAnsi="Times New Roman" w:cs="Times New Roman"/>
          <w:b/>
          <w:bCs/>
          <w:lang w:val="lt-LT"/>
        </w:rPr>
        <w:t>20</w:t>
      </w:r>
      <w:r w:rsidR="00A05205" w:rsidRPr="007829AD">
        <w:rPr>
          <w:rFonts w:ascii="Times New Roman" w:hAnsi="Times New Roman" w:cs="Times New Roman"/>
          <w:b/>
          <w:bCs/>
          <w:lang w:val="lt-LT"/>
        </w:rPr>
        <w:t>00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 Eur</w:t>
      </w:r>
      <w:r w:rsidR="007829AD" w:rsidRPr="007829AD">
        <w:rPr>
          <w:rFonts w:ascii="Times New Roman" w:hAnsi="Times New Roman" w:cs="Times New Roman"/>
          <w:b/>
          <w:bCs/>
          <w:lang w:val="lt-LT"/>
        </w:rPr>
        <w:t>,</w:t>
      </w:r>
      <w:r w:rsidRPr="007829AD">
        <w:rPr>
          <w:rFonts w:ascii="Times New Roman" w:hAnsi="Times New Roman" w:cs="Times New Roman"/>
          <w:lang w:val="lt-LT"/>
        </w:rPr>
        <w:t xml:space="preserve"> išmokant lygiomis dalimis kas mėnesį. </w:t>
      </w:r>
    </w:p>
    <w:p w14:paraId="614033C6" w14:textId="198AA8CF" w:rsidR="003F16A6" w:rsidRPr="007829AD" w:rsidRDefault="002E2B37" w:rsidP="003F16A6">
      <w:pPr>
        <w:pStyle w:val="NoSpacing"/>
        <w:jc w:val="both"/>
        <w:rPr>
          <w:rFonts w:ascii="Times New Roman" w:hAnsi="Times New Roman" w:cs="Times New Roman"/>
          <w:b/>
          <w:bCs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5. Stipendijos mokėjimas antraisiais </w:t>
      </w:r>
      <w:r w:rsidR="001A3AF8">
        <w:rPr>
          <w:rFonts w:ascii="Times New Roman" w:hAnsi="Times New Roman" w:cs="Times New Roman"/>
          <w:lang w:val="lt-LT"/>
        </w:rPr>
        <w:t xml:space="preserve">studijų </w:t>
      </w:r>
      <w:r w:rsidRPr="007829AD">
        <w:rPr>
          <w:rFonts w:ascii="Times New Roman" w:hAnsi="Times New Roman" w:cs="Times New Roman"/>
          <w:lang w:val="lt-LT"/>
        </w:rPr>
        <w:t xml:space="preserve">metais svarstomas ir </w:t>
      </w:r>
      <w:r w:rsidR="000C57D3">
        <w:rPr>
          <w:rFonts w:ascii="Times New Roman" w:hAnsi="Times New Roman" w:cs="Times New Roman"/>
          <w:lang w:val="lt-LT"/>
        </w:rPr>
        <w:t>gali būti pratęstas</w:t>
      </w:r>
      <w:r w:rsidRPr="007829AD">
        <w:rPr>
          <w:rFonts w:ascii="Times New Roman" w:hAnsi="Times New Roman" w:cs="Times New Roman"/>
          <w:lang w:val="lt-LT"/>
        </w:rPr>
        <w:t xml:space="preserve"> Konkurso vertinimo komisijos sprendimu</w:t>
      </w:r>
      <w:r w:rsidR="003F16A6" w:rsidRPr="007829AD">
        <w:rPr>
          <w:rFonts w:ascii="Times New Roman" w:hAnsi="Times New Roman" w:cs="Times New Roman"/>
          <w:lang w:val="lt-LT"/>
        </w:rPr>
        <w:t xml:space="preserve">, tuomet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bendra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vardinės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stipendijos suma sudaro</w:t>
      </w:r>
      <w:r w:rsidR="003F3962">
        <w:rPr>
          <w:rFonts w:ascii="Times New Roman" w:hAnsi="Times New Roman" w:cs="Times New Roman"/>
          <w:b/>
          <w:bCs/>
          <w:lang w:val="lt-LT"/>
        </w:rPr>
        <w:t xml:space="preserve"> iki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4C031C">
        <w:rPr>
          <w:rFonts w:ascii="Times New Roman" w:hAnsi="Times New Roman" w:cs="Times New Roman"/>
          <w:b/>
          <w:bCs/>
          <w:lang w:val="lt-LT"/>
        </w:rPr>
        <w:t>40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00 Eur.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507F30C2" w14:textId="15C2D1CB" w:rsidR="002E2B37" w:rsidRDefault="00CA6E5E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6</w:t>
      </w:r>
      <w:r w:rsidR="002E2B37" w:rsidRPr="007829AD">
        <w:rPr>
          <w:rFonts w:ascii="Times New Roman" w:hAnsi="Times New Roman" w:cs="Times New Roman"/>
          <w:lang w:val="lt-LT"/>
        </w:rPr>
        <w:t xml:space="preserve">. </w:t>
      </w:r>
      <w:r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>tudent</w:t>
      </w:r>
      <w:r w:rsidR="00A53D09">
        <w:rPr>
          <w:rFonts w:ascii="Times New Roman" w:hAnsi="Times New Roman" w:cs="Times New Roman"/>
          <w:lang w:val="lt-LT"/>
        </w:rPr>
        <w:t>ai</w:t>
      </w:r>
      <w:r w:rsidR="00490C01">
        <w:rPr>
          <w:rFonts w:ascii="Times New Roman" w:hAnsi="Times New Roman" w:cs="Times New Roman"/>
          <w:lang w:val="lt-LT"/>
        </w:rPr>
        <w:t xml:space="preserve"> kviečiami rengti </w:t>
      </w:r>
      <w:r w:rsidR="002E2B37" w:rsidRPr="007829AD">
        <w:rPr>
          <w:rFonts w:ascii="Times New Roman" w:hAnsi="Times New Roman" w:cs="Times New Roman"/>
          <w:lang w:val="lt-LT"/>
        </w:rPr>
        <w:t>baigia</w:t>
      </w:r>
      <w:r w:rsidR="00737AF4">
        <w:rPr>
          <w:rFonts w:ascii="Times New Roman" w:hAnsi="Times New Roman" w:cs="Times New Roman"/>
          <w:lang w:val="lt-LT"/>
        </w:rPr>
        <w:t>muosius</w:t>
      </w:r>
      <w:r w:rsidR="002E2B37" w:rsidRPr="007829AD">
        <w:rPr>
          <w:rFonts w:ascii="Times New Roman" w:hAnsi="Times New Roman" w:cs="Times New Roman"/>
          <w:lang w:val="lt-LT"/>
        </w:rPr>
        <w:t xml:space="preserve"> darb</w:t>
      </w:r>
      <w:r w:rsidR="00A53D09">
        <w:rPr>
          <w:rFonts w:ascii="Times New Roman" w:hAnsi="Times New Roman" w:cs="Times New Roman"/>
          <w:lang w:val="lt-LT"/>
        </w:rPr>
        <w:t>u</w:t>
      </w:r>
      <w:r w:rsidR="00490C01"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 xml:space="preserve"> </w:t>
      </w:r>
      <w:r w:rsidR="00A53D09">
        <w:rPr>
          <w:rFonts w:ascii="Times New Roman" w:hAnsi="Times New Roman" w:cs="Times New Roman"/>
          <w:lang w:val="lt-LT"/>
        </w:rPr>
        <w:t xml:space="preserve">žemiau </w:t>
      </w:r>
      <w:r w:rsidR="00490C01">
        <w:rPr>
          <w:rFonts w:ascii="Times New Roman" w:hAnsi="Times New Roman" w:cs="Times New Roman"/>
          <w:lang w:val="lt-LT"/>
        </w:rPr>
        <w:t>nurodytose</w:t>
      </w:r>
      <w:r w:rsidR="00A53D09">
        <w:rPr>
          <w:rFonts w:ascii="Times New Roman" w:hAnsi="Times New Roman" w:cs="Times New Roman"/>
          <w:lang w:val="lt-LT"/>
        </w:rPr>
        <w:t xml:space="preserve"> </w:t>
      </w:r>
      <w:r w:rsidR="002E2B37" w:rsidRPr="007829AD">
        <w:rPr>
          <w:rFonts w:ascii="Times New Roman" w:hAnsi="Times New Roman" w:cs="Times New Roman"/>
          <w:lang w:val="lt-LT"/>
        </w:rPr>
        <w:t>UAB „Thermo Fisher Scientific Baltics“</w:t>
      </w:r>
      <w:r w:rsidR="00490C01">
        <w:rPr>
          <w:rFonts w:ascii="Times New Roman" w:hAnsi="Times New Roman" w:cs="Times New Roman"/>
          <w:lang w:val="lt-LT"/>
        </w:rPr>
        <w:t xml:space="preserve"> </w:t>
      </w:r>
      <w:r w:rsidR="00C00F4A">
        <w:rPr>
          <w:rFonts w:ascii="Times New Roman" w:hAnsi="Times New Roman" w:cs="Times New Roman"/>
          <w:lang w:val="lt-LT"/>
        </w:rPr>
        <w:t xml:space="preserve">mokslo </w:t>
      </w:r>
      <w:r w:rsidR="00490C01">
        <w:rPr>
          <w:rFonts w:ascii="Times New Roman" w:hAnsi="Times New Roman" w:cs="Times New Roman"/>
          <w:lang w:val="lt-LT"/>
        </w:rPr>
        <w:t>grupėse</w:t>
      </w:r>
      <w:r>
        <w:rPr>
          <w:rFonts w:ascii="Times New Roman" w:hAnsi="Times New Roman" w:cs="Times New Roman"/>
          <w:lang w:val="lt-LT"/>
        </w:rPr>
        <w:t>, o</w:t>
      </w:r>
      <w:r w:rsidR="001F5AD4">
        <w:rPr>
          <w:rFonts w:ascii="Times New Roman" w:hAnsi="Times New Roman" w:cs="Times New Roman"/>
          <w:lang w:val="lt-LT"/>
        </w:rPr>
        <w:t xml:space="preserve"> baigiamųjų darbų</w:t>
      </w:r>
      <w:r>
        <w:rPr>
          <w:rFonts w:ascii="Times New Roman" w:hAnsi="Times New Roman" w:cs="Times New Roman"/>
          <w:lang w:val="lt-LT"/>
        </w:rPr>
        <w:t xml:space="preserve"> tematika turi atitikti nurodytas t</w:t>
      </w:r>
      <w:r w:rsidR="00305213">
        <w:rPr>
          <w:rFonts w:ascii="Times New Roman" w:hAnsi="Times New Roman" w:cs="Times New Roman"/>
          <w:lang w:val="lt-LT"/>
        </w:rPr>
        <w:t>y</w:t>
      </w:r>
      <w:r>
        <w:rPr>
          <w:rFonts w:ascii="Times New Roman" w:hAnsi="Times New Roman" w:cs="Times New Roman"/>
          <w:lang w:val="lt-LT"/>
        </w:rPr>
        <w:t xml:space="preserve">rimų kryptis: </w:t>
      </w:r>
      <w:r w:rsidR="00490C01">
        <w:rPr>
          <w:rFonts w:ascii="Times New Roman" w:hAnsi="Times New Roman" w:cs="Times New Roman"/>
          <w:lang w:val="lt-LT"/>
        </w:rPr>
        <w:t xml:space="preserve"> </w:t>
      </w:r>
    </w:p>
    <w:p w14:paraId="4554C724" w14:textId="0409EF14" w:rsidR="000C57D3" w:rsidRDefault="000C57D3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16A9DA5" w14:textId="77777777" w:rsidR="004C031C" w:rsidRPr="00D17E27" w:rsidRDefault="004C031C" w:rsidP="004C031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„THERMO FISHER SCIENTIFIC BALTICS“ </w:t>
      </w:r>
    </w:p>
    <w:p w14:paraId="222EA70C" w14:textId="77777777" w:rsidR="004C031C" w:rsidRPr="00D17E27" w:rsidRDefault="004C031C" w:rsidP="004C031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b/>
          <w:bCs/>
          <w:sz w:val="20"/>
          <w:szCs w:val="20"/>
          <w:lang w:val="lt-LT"/>
        </w:rPr>
        <w:t>TYRIMŲ GRUPĖS IR KRYPTYS</w:t>
      </w:r>
    </w:p>
    <w:p w14:paraId="72CB449C" w14:textId="77777777" w:rsidR="004C031C" w:rsidRPr="00D17E27" w:rsidRDefault="004C031C" w:rsidP="004C031C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4C031C" w:rsidRPr="00D17E27" w14:paraId="128FC75A" w14:textId="77777777" w:rsidTr="003530CC">
        <w:trPr>
          <w:trHeight w:val="419"/>
        </w:trPr>
        <w:tc>
          <w:tcPr>
            <w:tcW w:w="2268" w:type="dxa"/>
            <w:shd w:val="clear" w:color="auto" w:fill="8EAADB" w:themeFill="accent1" w:themeFillTint="99"/>
          </w:tcPr>
          <w:p w14:paraId="7B13F8EC" w14:textId="77777777" w:rsidR="004C031C" w:rsidRPr="00D17E27" w:rsidRDefault="004C031C" w:rsidP="003530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Mokslo grupė ir vadovas/-ė</w:t>
            </w:r>
          </w:p>
        </w:tc>
        <w:tc>
          <w:tcPr>
            <w:tcW w:w="7797" w:type="dxa"/>
            <w:shd w:val="clear" w:color="auto" w:fill="8EAADB" w:themeFill="accent1" w:themeFillTint="99"/>
          </w:tcPr>
          <w:p w14:paraId="4841776F" w14:textId="77777777" w:rsidR="004C031C" w:rsidRPr="00D17E27" w:rsidRDefault="004C031C" w:rsidP="003530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sz w:val="20"/>
                <w:szCs w:val="20"/>
              </w:rPr>
              <w:t>Metodai ir tyrimų kryptys</w:t>
            </w:r>
          </w:p>
        </w:tc>
      </w:tr>
      <w:tr w:rsidR="004C031C" w:rsidRPr="00D17E27" w14:paraId="4F8C6706" w14:textId="77777777" w:rsidTr="003530CC">
        <w:tc>
          <w:tcPr>
            <w:tcW w:w="2268" w:type="dxa"/>
          </w:tcPr>
          <w:p w14:paraId="30DF7BFF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biologijos pažangių tyrimų grupė</w:t>
            </w:r>
          </w:p>
          <w:p w14:paraId="08A4B73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32164B3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1C5075B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R.Skirgaila</w:t>
            </w:r>
          </w:p>
        </w:tc>
        <w:tc>
          <w:tcPr>
            <w:tcW w:w="7797" w:type="dxa"/>
          </w:tcPr>
          <w:p w14:paraId="55BFD2AD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NR gryninimas, PGR, kPGR, baltymų gryninimas ir savybių tyrimas, EMSA, baltymų atranka naudojant mikroskysčių technologijas, baltymų eksponavimas ant ribosomų, ląstelių 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 xml:space="preserve">in vitro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kompartmentalizacija. </w:t>
            </w:r>
          </w:p>
          <w:p w14:paraId="3B022CB6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5D7A113D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2EF44A2C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DNR polimerazių tyrimai ir taikymai;  </w:t>
            </w:r>
          </w:p>
          <w:p w14:paraId="6CCE3ADF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Nukleorūgčių modifikacijos fermentų tyrimai;</w:t>
            </w:r>
          </w:p>
          <w:p w14:paraId="3EB56264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Baltymų 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>in vitro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 evoliucijos panaudojimas fermentų savybių tobulinimui.</w:t>
            </w:r>
          </w:p>
        </w:tc>
      </w:tr>
      <w:tr w:rsidR="004C031C" w:rsidRPr="00D17E27" w14:paraId="736D976A" w14:textId="77777777" w:rsidTr="003530CC">
        <w:tc>
          <w:tcPr>
            <w:tcW w:w="2268" w:type="dxa"/>
          </w:tcPr>
          <w:p w14:paraId="5859431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Produktų verifikavimo-validavimo grupė</w:t>
            </w:r>
          </w:p>
          <w:p w14:paraId="736EE6F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09FCBB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D568BF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A. Lagunavičius</w:t>
            </w:r>
          </w:p>
        </w:tc>
        <w:tc>
          <w:tcPr>
            <w:tcW w:w="7797" w:type="dxa"/>
          </w:tcPr>
          <w:p w14:paraId="4C433DF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NR ir fermentų gryninimas; enzimologija ir EMSA; PGR, RT-PGR ir kPGR; NGS; kryptinga mutagenezė, baltymų imobilizacija ir cheminės  modifikacijos; baltymų liofilizavimas ir džiovinimas.</w:t>
            </w:r>
          </w:p>
          <w:p w14:paraId="4AAD38E2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26C19E7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382AB106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NR hidrolizės ir modifikacijos fermentų tyrimai;</w:t>
            </w:r>
          </w:p>
          <w:p w14:paraId="58D601A1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Baltymų savybių keitimas mutagenezės, imobilizacijos ar cheminių modifikacijų pagalba;</w:t>
            </w:r>
          </w:p>
          <w:p w14:paraId="25095E26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Baltymų liofilizavimas ir džiovinimas.</w:t>
            </w:r>
          </w:p>
        </w:tc>
      </w:tr>
      <w:tr w:rsidR="004C031C" w:rsidRPr="00D17E27" w14:paraId="498072FF" w14:textId="77777777" w:rsidTr="003530CC">
        <w:tc>
          <w:tcPr>
            <w:tcW w:w="2268" w:type="dxa"/>
          </w:tcPr>
          <w:p w14:paraId="4E56C5E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Rinkinių vystymo grupė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71F212B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6EC3F4D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6E95466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V.Šeputienė</w:t>
            </w:r>
          </w:p>
        </w:tc>
        <w:tc>
          <w:tcPr>
            <w:tcW w:w="7797" w:type="dxa"/>
          </w:tcPr>
          <w:p w14:paraId="6FBADD51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 xml:space="preserve">in </w:t>
            </w:r>
            <w:r w:rsidRPr="00D17E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vitro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iRNR transkripcijos (IVT) ir iRNR molekulių fermentinio modifikavimo reakcijų efektyvumo tyrimai, reakcijų tūrio didinimo (angl. </w:t>
            </w:r>
            <w:r w:rsidRPr="00D17E2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>upscale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) tyrimai, iRNR kokybiniai ir kiekybiniai nustatymo metodai.</w:t>
            </w:r>
          </w:p>
          <w:p w14:paraId="6EC96F06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40B52A19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011CD0BC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lt-LT"/>
              </w:rPr>
              <w:t>iRNR sintezės ir modifikavimo fermentų tyrimai, jų taikymas biofarmacijoje ir nukleorūgščių terapijoje.</w:t>
            </w:r>
          </w:p>
        </w:tc>
      </w:tr>
      <w:tr w:rsidR="004C031C" w:rsidRPr="00D17E27" w14:paraId="79223F40" w14:textId="77777777" w:rsidTr="003530CC">
        <w:tc>
          <w:tcPr>
            <w:tcW w:w="2268" w:type="dxa"/>
          </w:tcPr>
          <w:p w14:paraId="5FC86B0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diagnostikos sprendimų grupė</w:t>
            </w:r>
          </w:p>
          <w:p w14:paraId="26BF521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</w:p>
          <w:p w14:paraId="14BD5F6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 xml:space="preserve">Vad. </w:t>
            </w:r>
          </w:p>
          <w:p w14:paraId="4001AF7C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dr. R. Sukackaitė</w:t>
            </w:r>
          </w:p>
        </w:tc>
        <w:tc>
          <w:tcPr>
            <w:tcW w:w="7797" w:type="dxa"/>
          </w:tcPr>
          <w:p w14:paraId="1BB60350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PGR, kPGR, izoterminė amplifikacija, baltymų gryninimas ir savybių tyrimai, fermentų savybių keitimas kryptingos mutagenezės bei </w:t>
            </w:r>
            <w:r w:rsidRPr="00D17E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evoliucijos pagalba.</w:t>
            </w:r>
          </w:p>
          <w:p w14:paraId="30A9D0AE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7DB77B06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02F790E4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Izoterminės amplikacijos metodai </w:t>
            </w:r>
          </w:p>
          <w:p w14:paraId="6E7E2A1B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DNR polimerazių ir kitų baltymų savybių tobulinimas</w:t>
            </w:r>
          </w:p>
        </w:tc>
      </w:tr>
      <w:tr w:rsidR="004C031C" w:rsidRPr="00D17E27" w14:paraId="24D86CF4" w14:textId="77777777" w:rsidTr="003530CC">
        <w:tc>
          <w:tcPr>
            <w:tcW w:w="2268" w:type="dxa"/>
          </w:tcPr>
          <w:p w14:paraId="31E16B5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Ląstelės biologijos grupė</w:t>
            </w:r>
          </w:p>
          <w:p w14:paraId="2FDEE00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1444A7E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8EA60C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L. Zaliauskienė</w:t>
            </w:r>
          </w:p>
        </w:tc>
        <w:tc>
          <w:tcPr>
            <w:tcW w:w="7797" w:type="dxa"/>
          </w:tcPr>
          <w:p w14:paraId="4290531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žinduolių ląstelių kultivavimas, funkciniai tyrimai; liejinių konstravimas – genų inžinerija, transfekcija, baltymų gryninimas, ELISA, citometrija, WB (Western Blot). Grupėje dirbama su ląstelių gryninimu /aktyvavimu naudojant magnetines daleles konjuguotas su įvairiais antikūnais, kuriami produktai / metodai taikomi imunoterapijoje.</w:t>
            </w:r>
          </w:p>
          <w:p w14:paraId="35CF8EA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6A0E147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14EF529D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NK ląstelių aktyvumo tyrimai </w:t>
            </w:r>
            <w:r w:rsidRPr="00D17E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ex vivo</w:t>
            </w:r>
          </w:p>
          <w:p w14:paraId="3C410137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Membraninių baltymų liejinių kūrimas ir charakterizavimas</w:t>
            </w:r>
          </w:p>
        </w:tc>
      </w:tr>
      <w:tr w:rsidR="004C031C" w:rsidRPr="00D17E27" w14:paraId="4DD3538A" w14:textId="77777777" w:rsidTr="003530CC">
        <w:tc>
          <w:tcPr>
            <w:tcW w:w="2268" w:type="dxa"/>
          </w:tcPr>
          <w:p w14:paraId="1DD89B8B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lastRenderedPageBreak/>
              <w:t>Mikro gardelių produktų grupė</w:t>
            </w:r>
          </w:p>
          <w:p w14:paraId="19D3E13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074AE6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4753D66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D. Motiejūnas</w:t>
            </w:r>
          </w:p>
        </w:tc>
        <w:tc>
          <w:tcPr>
            <w:tcW w:w="7797" w:type="dxa"/>
          </w:tcPr>
          <w:p w14:paraId="7654E26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Molekulinės biologijos 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genotipavimo, chromosomų pakitimo ir ekspresijos mikro-gardelės, fermentinės reakcijos (polimerazės, restrikcijos endonukleazės ir kt. fermentai), PGR, NR gryninimas, NR/baltymų elektroforezė, ir kt). </w:t>
            </w:r>
          </w:p>
          <w:p w14:paraId="317E004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Bioanalitiniai 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absorbcijos, fluorescensijos, jonų, pH ir kt. matavimai.  Darbas su pipetavimo robotais, skeneriais ir fluidikos sistemomis.</w:t>
            </w:r>
          </w:p>
          <w:p w14:paraId="49DD77A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Bioinformatiniai 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programavimas su Python, Linux aplinka, įvairūs duomenų analizavimo metodai bei statistinis duomenų apdorojimas.</w:t>
            </w:r>
          </w:p>
          <w:p w14:paraId="50438BDE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</w:p>
          <w:p w14:paraId="4A59B3D1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6E542F8A" w14:textId="77777777" w:rsidR="004C031C" w:rsidRPr="00D17E27" w:rsidRDefault="004C031C" w:rsidP="004C031C">
            <w:pPr>
              <w:pStyle w:val="NoSpacing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Mikro-gardelių technologijos tobulinimas</w:t>
            </w:r>
          </w:p>
          <w:p w14:paraId="2EB0C070" w14:textId="77777777" w:rsidR="004C031C" w:rsidRPr="00D17E27" w:rsidRDefault="004C031C" w:rsidP="004C031C">
            <w:pPr>
              <w:pStyle w:val="NoSpacing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Įrankių kūrimas kompleksinių duomenų analizės automatizavimui, tendencijų sekimui ir interpretavimui.</w:t>
            </w:r>
          </w:p>
        </w:tc>
      </w:tr>
      <w:tr w:rsidR="004C031C" w:rsidRPr="00D17E27" w14:paraId="7308DE8F" w14:textId="77777777" w:rsidTr="003530CC">
        <w:trPr>
          <w:trHeight w:val="900"/>
        </w:trPr>
        <w:tc>
          <w:tcPr>
            <w:tcW w:w="2268" w:type="dxa"/>
          </w:tcPr>
          <w:p w14:paraId="3F38C09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Molekulinės biologijos produktų optimizavimo grupė</w:t>
            </w:r>
          </w:p>
          <w:p w14:paraId="7F40D9BC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5EDF7AE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4543CE1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M. Laime</w:t>
            </w:r>
          </w:p>
        </w:tc>
        <w:tc>
          <w:tcPr>
            <w:tcW w:w="7797" w:type="dxa"/>
          </w:tcPr>
          <w:p w14:paraId="55470AC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NR gryninimas, NR amplifikacija, baltymų gryninimas ir savybių tyrimas, fluorescentiniai metodai</w:t>
            </w:r>
          </w:p>
          <w:p w14:paraId="21751869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24363CC1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4FC56BF7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Naujų analizės metodų kūrimas ir esamų tobulinimas</w:t>
            </w:r>
          </w:p>
          <w:p w14:paraId="63CBB0E1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Produkto sudėties kritinių komponentų analizė ir keitimas</w:t>
            </w:r>
          </w:p>
          <w:p w14:paraId="184D92E3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Produktų gamybos technologijų tobulinimas</w:t>
            </w:r>
          </w:p>
        </w:tc>
      </w:tr>
      <w:tr w:rsidR="004C031C" w:rsidRPr="00D17E27" w14:paraId="7EB8F6B2" w14:textId="77777777" w:rsidTr="003530CC">
        <w:tc>
          <w:tcPr>
            <w:tcW w:w="2268" w:type="dxa"/>
          </w:tcPr>
          <w:p w14:paraId="364F1AD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biologijos PGR produktų vystymo grupė</w:t>
            </w:r>
          </w:p>
          <w:p w14:paraId="13C4C25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E5FFAC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4323FA6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B. Gagilienė</w:t>
            </w:r>
          </w:p>
        </w:tc>
        <w:tc>
          <w:tcPr>
            <w:tcW w:w="7797" w:type="dxa"/>
          </w:tcPr>
          <w:p w14:paraId="564A537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DNR/RNR gryninimas, PGR, kPGR ir kiti alternatyvūs DNR/RNR detekcijos metodai, rekombinantinių baltymų tobulinimas genų inžinierijos metodais, baltymų gryninimas ir savybių tyrimas molekulinės biologijos metodais.</w:t>
            </w:r>
          </w:p>
          <w:p w14:paraId="7C7063A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7EABE7B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23E44C0A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Metodų, skirtų greitai ir patikimai aptikti virusinę bei kitos kilmės DNR/RNR, kūrimas ir tobulinimas</w:t>
            </w:r>
          </w:p>
          <w:p w14:paraId="0845F447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Naujos kartos polimerazių, tinkančių virusologijos tyrimams, naujos kartos sekoskaitos (NGS), vienos ląstelės, genų redagavimo technologijoms, savybių tyrimas</w:t>
            </w:r>
          </w:p>
        </w:tc>
      </w:tr>
      <w:tr w:rsidR="004C031C" w:rsidRPr="00D17E27" w14:paraId="321D8990" w14:textId="77777777" w:rsidTr="003530CC">
        <w:tc>
          <w:tcPr>
            <w:tcW w:w="2268" w:type="dxa"/>
          </w:tcPr>
          <w:p w14:paraId="18DCFFA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NR gryninimo ir amplifikavimo produktų optimizavimo grupė</w:t>
            </w:r>
          </w:p>
          <w:p w14:paraId="71478BCB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60CACF7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5F854D6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D. Nekrašienė</w:t>
            </w:r>
          </w:p>
        </w:tc>
        <w:tc>
          <w:tcPr>
            <w:tcW w:w="7797" w:type="dxa"/>
          </w:tcPr>
          <w:p w14:paraId="17F79ECC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FRET, qPGR, PGR, PAGE-SDS, absorbcijos matavimas, NR gryninimas, bioanalitinių metodų robotizavimas</w:t>
            </w:r>
          </w:p>
          <w:p w14:paraId="1193AFEF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69D123A9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1752014F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Naujų analizės metodų kūrimas ir esamų optimizavimas</w:t>
            </w:r>
          </w:p>
          <w:p w14:paraId="4008F14A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Bioanalitinių metodų validavimas</w:t>
            </w:r>
          </w:p>
        </w:tc>
      </w:tr>
      <w:tr w:rsidR="004C031C" w:rsidRPr="00D17E27" w14:paraId="64204459" w14:textId="77777777" w:rsidTr="003530CC">
        <w:tc>
          <w:tcPr>
            <w:tcW w:w="2268" w:type="dxa"/>
          </w:tcPr>
          <w:p w14:paraId="32331F7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Biofarmacinių cheminių produktų vystymo grupė</w:t>
            </w:r>
          </w:p>
          <w:p w14:paraId="6E4A32D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F8DB84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6AE24E2F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I. Jaglinskaitė</w:t>
            </w:r>
          </w:p>
        </w:tc>
        <w:tc>
          <w:tcPr>
            <w:tcW w:w="7797" w:type="dxa"/>
          </w:tcPr>
          <w:p w14:paraId="06DE403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 įvairūs organinės sintezės metodai, skysčių chromatografija (LC), BMR, HPLC, UV, kPGR,  PGR, IVT transkripcija.</w:t>
            </w:r>
          </w:p>
          <w:p w14:paraId="17530BA6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67F2AE94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Naujų cheminių biofarmacinių produktų sintezė ir optimizavimas, perkėlimas į GGP, stabilumo tyrimai, bioanalitinių metodų kūrimas ir validavimas </w:t>
            </w:r>
          </w:p>
        </w:tc>
      </w:tr>
      <w:tr w:rsidR="004C031C" w:rsidRPr="00D17E27" w14:paraId="4F5C4308" w14:textId="77777777" w:rsidTr="003530CC">
        <w:tc>
          <w:tcPr>
            <w:tcW w:w="2268" w:type="dxa"/>
          </w:tcPr>
          <w:p w14:paraId="44EAE95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Ląstelių bankų ir genų inžinerijos grupė</w:t>
            </w:r>
          </w:p>
          <w:p w14:paraId="030694B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E84B9E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34DBAE7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K. Pagarauskaitė</w:t>
            </w:r>
          </w:p>
        </w:tc>
        <w:tc>
          <w:tcPr>
            <w:tcW w:w="7797" w:type="dxa"/>
          </w:tcPr>
          <w:p w14:paraId="6AC06E1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genų inžinerija (genų klonavimas į plazmidinius DNR vektorius, DNR restrikcinė analizė, PGR, qPGR, DNR gryninimas, DNR elektroforezė), genų raiška bakterijose, mielėse, žinduolių ląstelėse, mikrobiologijos metodai.</w:t>
            </w:r>
          </w:p>
          <w:p w14:paraId="734C0294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60BD7A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 n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aujų biofarmacinių rekombinantinių produktų kūrimas</w:t>
            </w:r>
          </w:p>
        </w:tc>
      </w:tr>
      <w:tr w:rsidR="004C031C" w:rsidRPr="00D17E27" w14:paraId="30FDA382" w14:textId="77777777" w:rsidTr="003530CC">
        <w:tc>
          <w:tcPr>
            <w:tcW w:w="2268" w:type="dxa"/>
          </w:tcPr>
          <w:p w14:paraId="21847A4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Biofarmacinių produktų vystymo grupė</w:t>
            </w:r>
          </w:p>
          <w:p w14:paraId="7254A12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33B661EE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76D7B38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E. Čapkauskė</w:t>
            </w:r>
          </w:p>
        </w:tc>
        <w:tc>
          <w:tcPr>
            <w:tcW w:w="7797" w:type="dxa"/>
          </w:tcPr>
          <w:p w14:paraId="4C0E9071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genų inžinerija, baltymų ekspresija, tangentinis filtravimas, chromatografija, SDS PAGE.</w:t>
            </w:r>
          </w:p>
          <w:p w14:paraId="65C80F99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14:paraId="470B4489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16512173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Augimo faktorių, skirtų ląstelių terapijai, vystymas</w:t>
            </w:r>
          </w:p>
          <w:p w14:paraId="417CFEE9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Cas9 šeimos baltymų vystymas genų terapijai</w:t>
            </w:r>
          </w:p>
          <w:p w14:paraId="734C0B15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Rekombinantinių baltymų gamybos technologijų kūrimas pagal GGP (geros gamybos praktikos) reikalavimus;</w:t>
            </w:r>
          </w:p>
          <w:p w14:paraId="475207AF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Perkėlimai į GGP gamybą: skalių, išeigų didinimas, technologijų pritaikymas Single Use sistemoms.</w:t>
            </w:r>
          </w:p>
        </w:tc>
      </w:tr>
      <w:tr w:rsidR="004C031C" w:rsidRPr="00D17E27" w14:paraId="709B86BA" w14:textId="77777777" w:rsidTr="003530CC">
        <w:tc>
          <w:tcPr>
            <w:tcW w:w="2268" w:type="dxa"/>
          </w:tcPr>
          <w:p w14:paraId="0D76916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Molekulinės ir sintetinės biologijos įrankių grupė</w:t>
            </w:r>
          </w:p>
          <w:p w14:paraId="18B450AB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5887717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5F187E5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I. Vendelė</w:t>
            </w:r>
          </w:p>
        </w:tc>
        <w:tc>
          <w:tcPr>
            <w:tcW w:w="7797" w:type="dxa"/>
          </w:tcPr>
          <w:p w14:paraId="49B33AC6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rekombinantinių plazmidžių inžinerija, 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>E.coli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transformacija, bakterinių kultūrų kultivacija, kPGR, PGR, izoterminės NR amplifikacijos metodai, RNR/DNR modifikavimas, NR elektroforezė, NR gryninimas, baltymų savybių tyrimai, SDS-PAGE, </w:t>
            </w:r>
            <w:r w:rsidRPr="00D17E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transkripcija.</w:t>
            </w:r>
          </w:p>
          <w:p w14:paraId="7BE2AB19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1CAD0DF" w14:textId="77777777" w:rsidR="004C031C" w:rsidRPr="00D17E27" w:rsidRDefault="004C031C" w:rsidP="003530CC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CBBDF58" w14:textId="77777777" w:rsidR="004C031C" w:rsidRPr="00D17E27" w:rsidRDefault="004C031C" w:rsidP="004C031C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D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NR/RNR modifikuojančių fermentų savybių tyrimai ir charakterizavimas;</w:t>
            </w:r>
          </w:p>
          <w:p w14:paraId="6E73EEC2" w14:textId="77777777" w:rsidR="004C031C" w:rsidRPr="00D17E27" w:rsidRDefault="004C031C" w:rsidP="004C031C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Klonavimo metodų tobulinimas bei vystymas.</w:t>
            </w:r>
          </w:p>
        </w:tc>
      </w:tr>
      <w:tr w:rsidR="004C031C" w:rsidRPr="00D17E27" w14:paraId="61ADF064" w14:textId="77777777" w:rsidTr="003530CC">
        <w:trPr>
          <w:trHeight w:val="300"/>
        </w:trPr>
        <w:tc>
          <w:tcPr>
            <w:tcW w:w="2268" w:type="dxa"/>
          </w:tcPr>
          <w:p w14:paraId="198C905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lastRenderedPageBreak/>
              <w:t>Molekulinės biologijos produktų pritaikymo grupė</w:t>
            </w:r>
          </w:p>
          <w:p w14:paraId="4089724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73F1FB7C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549C14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E. Merkienė</w:t>
            </w:r>
          </w:p>
        </w:tc>
        <w:tc>
          <w:tcPr>
            <w:tcW w:w="7797" w:type="dxa"/>
          </w:tcPr>
          <w:p w14:paraId="1987A22C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kPGR, PGR, izoterminės NR amplifikacijos metodai, </w:t>
            </w:r>
            <w:r w:rsidRPr="00D17E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t-LT"/>
              </w:rPr>
              <w:t>in vitro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 RNR transkripcija, RNR/DNR modifikavimas, NR elektroforezė, NR gryninimas, genų inžinerija, sekoskaita, transfekcija. </w:t>
            </w:r>
          </w:p>
          <w:p w14:paraId="0365375F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5D09F2A1" w14:textId="77777777" w:rsidR="004C031C" w:rsidRPr="00D17E27" w:rsidRDefault="004C031C" w:rsidP="003530CC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: molekulinės biologijos produktų tyrimai, inovatyvių taikymų paieška.</w:t>
            </w:r>
          </w:p>
        </w:tc>
      </w:tr>
      <w:tr w:rsidR="004C031C" w:rsidRPr="00D17E27" w14:paraId="4C5683D9" w14:textId="77777777" w:rsidTr="003530CC">
        <w:tc>
          <w:tcPr>
            <w:tcW w:w="2268" w:type="dxa"/>
          </w:tcPr>
          <w:p w14:paraId="68EC075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Biofarmacinių analitinių metodų  grupė</w:t>
            </w:r>
          </w:p>
          <w:p w14:paraId="41E36F3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D2EC1E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15D0F5B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E. Damušienė</w:t>
            </w:r>
          </w:p>
        </w:tc>
        <w:tc>
          <w:tcPr>
            <w:tcW w:w="7797" w:type="dxa"/>
          </w:tcPr>
          <w:p w14:paraId="0C6E1AB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spektrofotometriniai, kPGR, HPLC, radioaktyvūs aktyvumo testai, testai su žinduolių ląstelėmis, SDS-PAGE</w:t>
            </w:r>
          </w:p>
          <w:p w14:paraId="77036D50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8594EA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4AEC2C6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Analitinių metodų kūrimas ir validavimas  baltymų testavimui pagal GGP (geros gamybos praktikos) reikalavimus</w:t>
            </w:r>
          </w:p>
          <w:p w14:paraId="6F732A1A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stabilumo tyrimai.</w:t>
            </w:r>
          </w:p>
          <w:p w14:paraId="3023112C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charakterizavimas.</w:t>
            </w:r>
          </w:p>
        </w:tc>
      </w:tr>
      <w:tr w:rsidR="004C031C" w:rsidRPr="00D17E27" w14:paraId="63445085" w14:textId="77777777" w:rsidTr="003530CC">
        <w:tc>
          <w:tcPr>
            <w:tcW w:w="2268" w:type="dxa"/>
          </w:tcPr>
          <w:p w14:paraId="2E0D04E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Chemijos grupė</w:t>
            </w:r>
          </w:p>
          <w:p w14:paraId="44811EE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88B64B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6A4012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I. Čikotienė</w:t>
            </w:r>
          </w:p>
        </w:tc>
        <w:tc>
          <w:tcPr>
            <w:tcW w:w="7797" w:type="dxa"/>
          </w:tcPr>
          <w:p w14:paraId="5CCBDC0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 HPLC, Masių spektrometrija, UV/fluorescencija</w:t>
            </w:r>
          </w:p>
          <w:p w14:paraId="13C4C340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</w:p>
          <w:p w14:paraId="7E832565" w14:textId="77777777" w:rsidR="004C031C" w:rsidRPr="00D17E27" w:rsidRDefault="004C031C" w:rsidP="003530CC">
            <w:pPr>
              <w:pStyle w:val="NoSpacing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>:</w:t>
            </w:r>
          </w:p>
          <w:p w14:paraId="083E87E9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Instrumentinių analitinių metodų kūrimas</w:t>
            </w:r>
          </w:p>
          <w:p w14:paraId="61F09EA1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Mažamolekulinių ir didelės molekulinės masės produktų charakterizavimas</w:t>
            </w:r>
          </w:p>
          <w:p w14:paraId="67026E0A" w14:textId="77777777" w:rsidR="004C031C" w:rsidRPr="00D17E27" w:rsidRDefault="004C031C" w:rsidP="004C031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Organinė sintezė</w:t>
            </w:r>
          </w:p>
        </w:tc>
      </w:tr>
      <w:tr w:rsidR="004C031C" w:rsidRPr="00D17E27" w14:paraId="39B2E825" w14:textId="77777777" w:rsidTr="003530CC">
        <w:tc>
          <w:tcPr>
            <w:tcW w:w="2268" w:type="dxa"/>
          </w:tcPr>
          <w:p w14:paraId="4ED1E4D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  <w:t>Analitinių metodų vystymo grupė</w:t>
            </w:r>
          </w:p>
          <w:p w14:paraId="6544125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</w:p>
          <w:p w14:paraId="7F80B3CC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077EA6A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V.Sutkuvienė</w:t>
            </w:r>
          </w:p>
        </w:tc>
        <w:tc>
          <w:tcPr>
            <w:tcW w:w="7797" w:type="dxa"/>
          </w:tcPr>
          <w:p w14:paraId="20CC0CCB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spektrofotometriniai, HPLC, MS. Analitės: lipidai, peptidai, nukleotidai</w:t>
            </w:r>
          </w:p>
          <w:p w14:paraId="4F137D1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Tyrimų kryptys</w:t>
            </w:r>
            <w:r w:rsidRPr="00D17E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: 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Analitinių metodų vystymas ir validavimas. </w:t>
            </w:r>
          </w:p>
        </w:tc>
      </w:tr>
      <w:tr w:rsidR="004C031C" w:rsidRPr="00D17E27" w14:paraId="1D027E86" w14:textId="77777777" w:rsidTr="003530CC">
        <w:tc>
          <w:tcPr>
            <w:tcW w:w="2268" w:type="dxa"/>
          </w:tcPr>
          <w:p w14:paraId="1F80B8E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Chromatografijos ir masių spektrometrijos tyrimų centras</w:t>
            </w:r>
          </w:p>
          <w:p w14:paraId="284200C9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24DF7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Vad. </w:t>
            </w:r>
          </w:p>
          <w:p w14:paraId="2C9D6D7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L. Taujenis</w:t>
            </w:r>
          </w:p>
        </w:tc>
        <w:tc>
          <w:tcPr>
            <w:tcW w:w="7797" w:type="dxa"/>
          </w:tcPr>
          <w:p w14:paraId="2E7C24AD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00D17E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  HPLC, masių spektrometrija, neorganinė ir organinė sintezė, dalelių charakterizavimas, duomenų analizė taikant chemometrinius metodus, inžinerinis modeliavimas. </w:t>
            </w:r>
          </w:p>
          <w:p w14:paraId="6B97C328" w14:textId="77777777" w:rsidR="004C031C" w:rsidRPr="00D17E27" w:rsidRDefault="004C031C" w:rsidP="003530C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826CC38" w14:textId="77777777" w:rsidR="004C031C" w:rsidRPr="00D17E27" w:rsidRDefault="004C031C" w:rsidP="003530CC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7E27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Tyrimų kryptys</w:t>
            </w:r>
            <w:r w:rsidRPr="00D17E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3754F65" w14:textId="77777777" w:rsidR="004C031C" w:rsidRPr="00D17E27" w:rsidRDefault="004C031C" w:rsidP="004C031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7E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Chromatografinių priemonių kūrimas ir taikymas: sorbentų dalelių sintezė ir modifikavimas, analitinių ir preparatyvinių LC kolonėlių vystymas, mėginių paruošimo sprendimų kūrimas. </w:t>
            </w:r>
          </w:p>
          <w:p w14:paraId="0673A15F" w14:textId="77777777" w:rsidR="004C031C" w:rsidRPr="00D17E27" w:rsidRDefault="004C031C" w:rsidP="004C031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17E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Pažangių LC-MS sprendimų kūrimas ir taikymas.</w:t>
            </w:r>
          </w:p>
        </w:tc>
      </w:tr>
      <w:tr w:rsidR="004C031C" w:rsidRPr="00D17E27" w14:paraId="2ACA9CCC" w14:textId="77777777" w:rsidTr="003530CC">
        <w:trPr>
          <w:trHeight w:val="300"/>
        </w:trPr>
        <w:tc>
          <w:tcPr>
            <w:tcW w:w="2268" w:type="dxa"/>
          </w:tcPr>
          <w:p w14:paraId="03BC9953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Bioprocesų Vystymo grupė</w:t>
            </w:r>
          </w:p>
          <w:p w14:paraId="7552B2EE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00A753FE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E4DF0BF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K. Bargaila</w:t>
            </w:r>
          </w:p>
        </w:tc>
        <w:tc>
          <w:tcPr>
            <w:tcW w:w="7797" w:type="dxa"/>
          </w:tcPr>
          <w:p w14:paraId="7F198F13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Baltymimių tirpalų skaidrinimas, baltyminių tirpalų tangentinis koncentravimas,  ultradializė, baltymų chromatografinis gryninimas, SDS PAGE analizė, baltymų koncentracijos nustatymas, IPC.</w:t>
            </w:r>
          </w:p>
          <w:p w14:paraId="1292C062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2EB1DD6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30E450FE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GMP fermentų/baltymų gamybos schemų vystymas ir tobulinimas</w:t>
            </w:r>
          </w:p>
          <w:p w14:paraId="4203E73B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GMP fermentų/baltymų gamybos schemų perkėlimas į gamybą</w:t>
            </w:r>
          </w:p>
        </w:tc>
      </w:tr>
      <w:tr w:rsidR="004C031C" w:rsidRPr="00D17E27" w14:paraId="012F676E" w14:textId="77777777" w:rsidTr="003530CC">
        <w:trPr>
          <w:trHeight w:val="300"/>
        </w:trPr>
        <w:tc>
          <w:tcPr>
            <w:tcW w:w="2268" w:type="dxa"/>
          </w:tcPr>
          <w:p w14:paraId="39EE1A32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Biosintezės vystymo grupė </w:t>
            </w:r>
          </w:p>
          <w:p w14:paraId="7E6FD311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23012A64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7EC3F180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M. Vaicekauskė</w:t>
            </w:r>
          </w:p>
        </w:tc>
        <w:tc>
          <w:tcPr>
            <w:tcW w:w="7797" w:type="dxa"/>
          </w:tcPr>
          <w:p w14:paraId="3E14BE07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Metodai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rekombinantinių baltymų ekspresija kolbose ir bioreaktoriuose (0,25-300L), SDS-PAGE, baltymų koncentracijos/aktyvumo matavimas, IPC.</w:t>
            </w:r>
          </w:p>
          <w:p w14:paraId="3CCAD634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C88638E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:</w:t>
            </w:r>
          </w:p>
          <w:p w14:paraId="2760102F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Rekombinantinių baltymų raiškos vystymas naudojant mikroorganizmus</w:t>
            </w:r>
          </w:p>
          <w:p w14:paraId="2B59AD7F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Rekombinantinių baltymų gamybos technologijų kūrimas/tobulinimas pagal GGP (geros gamybos praktikos) reikalavimus;</w:t>
            </w:r>
          </w:p>
          <w:p w14:paraId="2A61B37C" w14:textId="77777777" w:rsidR="004C031C" w:rsidRPr="00D17E27" w:rsidRDefault="004C031C" w:rsidP="004C03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Gamybos technologijų perkėlimai į GGP gamybą: skalių, išeigų didinimas, technologijų pritaikymas </w:t>
            </w:r>
            <w:r w:rsidRPr="00D17E2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Single-Use</w:t>
            </w: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sistemoms.</w:t>
            </w:r>
          </w:p>
        </w:tc>
      </w:tr>
      <w:tr w:rsidR="004C031C" w:rsidRPr="00D17E27" w14:paraId="7EB3218E" w14:textId="77777777" w:rsidTr="003530CC">
        <w:trPr>
          <w:trHeight w:val="300"/>
        </w:trPr>
        <w:tc>
          <w:tcPr>
            <w:tcW w:w="2268" w:type="dxa"/>
          </w:tcPr>
          <w:p w14:paraId="129F901A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Biofarmacinių metodų validavimo grupė</w:t>
            </w:r>
          </w:p>
          <w:p w14:paraId="0E67DE36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</w:p>
          <w:p w14:paraId="41C47567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28D8BFF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G. Stoškienė</w:t>
            </w:r>
          </w:p>
        </w:tc>
        <w:tc>
          <w:tcPr>
            <w:tcW w:w="7797" w:type="dxa"/>
          </w:tcPr>
          <w:p w14:paraId="1E48D965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kPGR, spektrofotometriniai, HPLC, radioaktyvūs aktyvumo testai, SDS-PAGE.</w:t>
            </w:r>
          </w:p>
          <w:p w14:paraId="6BC8C4CA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0327611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AE8273D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Analitinių metodų kūrimas ir validavimas baltymų testavimui pagal GGP (geros gamybos praktikos) reikalavimus.</w:t>
            </w:r>
          </w:p>
          <w:p w14:paraId="373650C9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stabilumo tyrimai.</w:t>
            </w:r>
          </w:p>
          <w:p w14:paraId="39C61226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charakterizavimas.</w:t>
            </w:r>
          </w:p>
        </w:tc>
      </w:tr>
      <w:tr w:rsidR="004C031C" w:rsidRPr="00D17E27" w14:paraId="04D0F120" w14:textId="77777777" w:rsidTr="003530CC">
        <w:trPr>
          <w:trHeight w:val="300"/>
        </w:trPr>
        <w:tc>
          <w:tcPr>
            <w:tcW w:w="2268" w:type="dxa"/>
          </w:tcPr>
          <w:p w14:paraId="391B380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Biofarmacinių produktų palaikymo grupė </w:t>
            </w:r>
          </w:p>
          <w:p w14:paraId="6442211D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 xml:space="preserve">Vad. </w:t>
            </w:r>
          </w:p>
          <w:p w14:paraId="57FD3FEF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Dr. D. Kavaliauskas</w:t>
            </w:r>
          </w:p>
        </w:tc>
        <w:tc>
          <w:tcPr>
            <w:tcW w:w="7797" w:type="dxa"/>
          </w:tcPr>
          <w:p w14:paraId="298A8AF8" w14:textId="77777777" w:rsidR="004C031C" w:rsidRPr="00D17E27" w:rsidRDefault="004C031C" w:rsidP="003530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00D17E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Metodai</w:t>
            </w:r>
            <w:r w:rsidRPr="00D1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t-LT"/>
              </w:rPr>
              <w:t>: spektrofotometriniai, kPGR, PGR, RT-PGR, radioaktyvūs aktyvumo testai, SDS-PAGE, DNR/RNR elektroforezė, ELISA, baltymų chromatografija ir formulavimas</w:t>
            </w:r>
          </w:p>
          <w:p w14:paraId="43020916" w14:textId="77777777" w:rsidR="004C031C" w:rsidRPr="00D17E27" w:rsidRDefault="004C031C" w:rsidP="003530CC">
            <w:pPr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0236549" w14:textId="77777777" w:rsidR="004C031C" w:rsidRPr="00D17E27" w:rsidRDefault="004C031C" w:rsidP="003530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Theme="minorEastAsia" w:hAnsi="Times New Roman"/>
                <w:b/>
                <w:bCs/>
                <w:color w:val="000000" w:themeColor="text1"/>
                <w:sz w:val="20"/>
                <w:szCs w:val="20"/>
              </w:rPr>
              <w:t>Tyrimų kryptys</w:t>
            </w:r>
            <w:r w:rsidRPr="00D17E2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8F1889F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Analitinių metodų kūrimas ir validavimas  baltymų testavimui pagal GGP (geros gamybos praktikos) reikalavimus</w:t>
            </w:r>
          </w:p>
          <w:p w14:paraId="55131334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Baltymų stabilumo tyrimai</w:t>
            </w:r>
          </w:p>
          <w:p w14:paraId="57D48AC1" w14:textId="77777777" w:rsidR="004C031C" w:rsidRPr="00D17E27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Baltymų charakterizavimas</w:t>
            </w:r>
          </w:p>
          <w:p w14:paraId="0FDBF84A" w14:textId="77777777" w:rsidR="004C031C" w:rsidRPr="002269B9" w:rsidRDefault="004C031C" w:rsidP="004C031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7E2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Naujų produktų vystymo tyrimai</w:t>
            </w:r>
          </w:p>
        </w:tc>
      </w:tr>
    </w:tbl>
    <w:p w14:paraId="5EBEFB9D" w14:textId="77777777" w:rsidR="004C031C" w:rsidRPr="00D17E27" w:rsidRDefault="004C031C" w:rsidP="004C031C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D17E27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lastRenderedPageBreak/>
        <w:t xml:space="preserve"> </w:t>
      </w:r>
    </w:p>
    <w:p w14:paraId="2AB3615C" w14:textId="3D78287A" w:rsidR="00447CFA" w:rsidRPr="00386790" w:rsidRDefault="00E14FCB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8. </w:t>
      </w:r>
      <w:r w:rsidR="00447CFA" w:rsidRPr="00386790">
        <w:rPr>
          <w:rFonts w:ascii="Times New Roman" w:hAnsi="Times New Roman" w:cs="Times New Roman"/>
          <w:lang w:val="lt-LT"/>
        </w:rPr>
        <w:t xml:space="preserve">Vienas studentas </w:t>
      </w:r>
      <w:r w:rsidR="00C00F4A">
        <w:rPr>
          <w:rFonts w:ascii="Times New Roman" w:hAnsi="Times New Roman" w:cs="Times New Roman"/>
          <w:lang w:val="lt-LT"/>
        </w:rPr>
        <w:t xml:space="preserve">paraiškoje </w:t>
      </w:r>
      <w:r w:rsidR="00447CFA" w:rsidRPr="00386790">
        <w:rPr>
          <w:rFonts w:ascii="Times New Roman" w:hAnsi="Times New Roman" w:cs="Times New Roman"/>
          <w:lang w:val="lt-LT"/>
        </w:rPr>
        <w:t xml:space="preserve">gali nurodyti ne daugiau </w:t>
      </w:r>
      <w:r w:rsidR="00447CFA" w:rsidRPr="00C00F4A">
        <w:rPr>
          <w:rFonts w:ascii="Times New Roman" w:hAnsi="Times New Roman" w:cs="Times New Roman"/>
          <w:lang w:val="lt-LT"/>
        </w:rPr>
        <w:t xml:space="preserve">kaip 3 dominančias </w:t>
      </w:r>
      <w:r w:rsidR="00C00F4A" w:rsidRPr="00C00F4A">
        <w:rPr>
          <w:rFonts w:ascii="Times New Roman" w:hAnsi="Times New Roman" w:cs="Times New Roman"/>
          <w:lang w:val="lt-LT"/>
        </w:rPr>
        <w:t>mokslo grupes</w:t>
      </w:r>
      <w:r w:rsidR="00447CFA" w:rsidRPr="00C00F4A">
        <w:rPr>
          <w:rFonts w:ascii="Times New Roman" w:hAnsi="Times New Roman" w:cs="Times New Roman"/>
          <w:lang w:val="lt-LT"/>
        </w:rPr>
        <w:t>.</w:t>
      </w:r>
      <w:r w:rsidR="00447CFA" w:rsidRPr="00386790">
        <w:rPr>
          <w:rFonts w:ascii="Times New Roman" w:hAnsi="Times New Roman" w:cs="Times New Roman"/>
          <w:lang w:val="lt-LT"/>
        </w:rPr>
        <w:t xml:space="preserve"> </w:t>
      </w:r>
    </w:p>
    <w:p w14:paraId="1C501F87" w14:textId="77777777" w:rsidR="00272C00" w:rsidRDefault="00E14FCB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9</w:t>
      </w:r>
      <w:r w:rsidR="00447CFA" w:rsidRPr="00386790">
        <w:rPr>
          <w:rFonts w:ascii="Times New Roman" w:hAnsi="Times New Roman" w:cs="Times New Roman"/>
          <w:lang w:val="lt-LT"/>
        </w:rPr>
        <w:t xml:space="preserve">. Pretenduoti į Stipendiją gali pažangūs </w:t>
      </w:r>
      <w:r w:rsidR="00CA648A" w:rsidRPr="00386790">
        <w:rPr>
          <w:rFonts w:ascii="Times New Roman" w:hAnsi="Times New Roman" w:cs="Times New Roman"/>
          <w:lang w:val="lt-LT"/>
        </w:rPr>
        <w:t>antros</w:t>
      </w:r>
      <w:r w:rsidR="002E2B37" w:rsidRPr="00386790">
        <w:rPr>
          <w:rFonts w:ascii="Times New Roman" w:hAnsi="Times New Roman" w:cs="Times New Roman"/>
          <w:lang w:val="lt-LT"/>
        </w:rPr>
        <w:t>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</w:t>
      </w:r>
      <w:r w:rsidR="00791006" w:rsidRPr="00386790">
        <w:rPr>
          <w:rFonts w:ascii="Times New Roman" w:hAnsi="Times New Roman" w:cs="Times New Roman"/>
          <w:lang w:val="lt-LT"/>
        </w:rPr>
        <w:t>Universiteto</w:t>
      </w:r>
      <w:r w:rsidR="00447CFA" w:rsidRPr="00386790">
        <w:rPr>
          <w:rFonts w:ascii="Times New Roman" w:hAnsi="Times New Roman" w:cs="Times New Roman"/>
          <w:lang w:val="lt-LT"/>
        </w:rPr>
        <w:t xml:space="preserve"> studentai, studijuojantys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su biotechnologijomis </w:t>
      </w:r>
      <w:r w:rsidR="00447CFA" w:rsidRPr="00386790">
        <w:rPr>
          <w:rFonts w:ascii="Times New Roman" w:hAnsi="Times New Roman" w:cs="Times New Roman"/>
          <w:lang w:val="lt-LT"/>
        </w:rPr>
        <w:t xml:space="preserve">ar kitus su UAB „Thermo Fisher Scientific Baltics“ veikla susijusius mokslus ir siekiantys UAB „Thermo Fisher Scientific Baltics“ atlikti ir parengti ginti </w:t>
      </w:r>
      <w:r w:rsidR="002E2B37" w:rsidRPr="00386790">
        <w:rPr>
          <w:rFonts w:ascii="Times New Roman" w:hAnsi="Times New Roman" w:cs="Times New Roman"/>
          <w:lang w:val="lt-LT"/>
        </w:rPr>
        <w:t>antrosios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baigiamąjį darbą</w:t>
      </w:r>
      <w:r w:rsidR="00272C00">
        <w:rPr>
          <w:rFonts w:ascii="Times New Roman" w:hAnsi="Times New Roman" w:cs="Times New Roman"/>
          <w:lang w:val="lt-LT"/>
        </w:rPr>
        <w:t>, bei kurie nedirba „Thermo Fisher Scientific“ arba dirba „Thermo Fisher Scientific“ ne daugiau kaip 0,6 etato.</w:t>
      </w:r>
    </w:p>
    <w:p w14:paraId="48D6460D" w14:textId="7FFE35E6" w:rsidR="00272C00" w:rsidRDefault="00272C00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10. Paraiškas galima teikti iki 202</w:t>
      </w:r>
      <w:r w:rsidR="004C031C">
        <w:rPr>
          <w:rFonts w:ascii="Times New Roman" w:hAnsi="Times New Roman" w:cs="Times New Roman"/>
          <w:lang w:val="lt-LT"/>
        </w:rPr>
        <w:t>3</w:t>
      </w:r>
      <w:r>
        <w:rPr>
          <w:rFonts w:ascii="Times New Roman" w:hAnsi="Times New Roman" w:cs="Times New Roman"/>
          <w:lang w:val="lt-LT"/>
        </w:rPr>
        <w:t xml:space="preserve"> m. </w:t>
      </w:r>
      <w:r w:rsidR="00E770A6">
        <w:rPr>
          <w:rFonts w:ascii="Times New Roman" w:hAnsi="Times New Roman" w:cs="Times New Roman"/>
          <w:lang w:val="lt-LT"/>
        </w:rPr>
        <w:t>rugsėjo</w:t>
      </w:r>
      <w:r>
        <w:rPr>
          <w:rFonts w:ascii="Times New Roman" w:hAnsi="Times New Roman" w:cs="Times New Roman"/>
          <w:lang w:val="lt-LT"/>
        </w:rPr>
        <w:t xml:space="preserve"> </w:t>
      </w:r>
      <w:r w:rsidR="00E770A6">
        <w:rPr>
          <w:rFonts w:ascii="Times New Roman" w:hAnsi="Times New Roman" w:cs="Times New Roman"/>
          <w:lang w:val="lt-LT"/>
        </w:rPr>
        <w:t xml:space="preserve">15 </w:t>
      </w:r>
      <w:r>
        <w:rPr>
          <w:rFonts w:ascii="Times New Roman" w:hAnsi="Times New Roman" w:cs="Times New Roman"/>
          <w:lang w:val="lt-LT"/>
        </w:rPr>
        <w:t>d.</w:t>
      </w:r>
      <w:r w:rsidR="00E376D2">
        <w:rPr>
          <w:rFonts w:ascii="Times New Roman" w:hAnsi="Times New Roman" w:cs="Times New Roman"/>
          <w:lang w:val="lt-LT"/>
        </w:rPr>
        <w:t xml:space="preserve"> imtinai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3E542920" w14:textId="60183903" w:rsidR="00447CFA" w:rsidRPr="00E376D2" w:rsidRDefault="00447CFA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E14FCB" w:rsidRPr="00386790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E376D2">
        <w:rPr>
          <w:rFonts w:ascii="Times New Roman" w:hAnsi="Times New Roman" w:cs="Times New Roman"/>
          <w:lang w:val="lt-LT"/>
        </w:rPr>
        <w:t xml:space="preserve">Pretendentai savo kandidatūrą stipendijai gauti siūlo patys, pateikdami konkursui šiuos dokumentus: </w:t>
      </w:r>
    </w:p>
    <w:p w14:paraId="57B42792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gyvenimo aprašymą (CV); </w:t>
      </w:r>
    </w:p>
    <w:p w14:paraId="355EFC95" w14:textId="0D199E2C" w:rsidR="00E376D2" w:rsidRPr="00E376D2" w:rsidRDefault="00E376D2" w:rsidP="00E376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E376D2">
        <w:rPr>
          <w:rFonts w:ascii="Times New Roman" w:eastAsia="Times New Roman" w:hAnsi="Times New Roman"/>
        </w:rPr>
        <w:t xml:space="preserve">motyvacinį laišką, nurodant </w:t>
      </w:r>
      <w:r w:rsidR="00DA457B">
        <w:rPr>
          <w:rFonts w:ascii="Times New Roman" w:eastAsia="Times New Roman" w:hAnsi="Times New Roman"/>
        </w:rPr>
        <w:t xml:space="preserve">ne daugiau nei 3 </w:t>
      </w:r>
      <w:r w:rsidR="00790CBD">
        <w:rPr>
          <w:rFonts w:ascii="Times New Roman" w:eastAsia="Times New Roman" w:hAnsi="Times New Roman"/>
        </w:rPr>
        <w:t xml:space="preserve">dominančias </w:t>
      </w:r>
      <w:r w:rsidR="00DA457B">
        <w:rPr>
          <w:rFonts w:ascii="Times New Roman" w:eastAsia="Times New Roman" w:hAnsi="Times New Roman"/>
        </w:rPr>
        <w:t>mokslo grupes</w:t>
      </w:r>
      <w:r w:rsidRPr="00E376D2">
        <w:rPr>
          <w:rFonts w:ascii="Times New Roman" w:eastAsia="Times New Roman" w:hAnsi="Times New Roman"/>
        </w:rPr>
        <w:t>, kur</w:t>
      </w:r>
      <w:r w:rsidR="00DA457B">
        <w:rPr>
          <w:rFonts w:ascii="Times New Roman" w:eastAsia="Times New Roman" w:hAnsi="Times New Roman"/>
        </w:rPr>
        <w:t>iose</w:t>
      </w:r>
      <w:r w:rsidRPr="00E376D2">
        <w:rPr>
          <w:rFonts w:ascii="Times New Roman" w:eastAsia="Times New Roman" w:hAnsi="Times New Roman"/>
        </w:rPr>
        <w:t xml:space="preserve"> </w:t>
      </w:r>
      <w:r w:rsidR="00DA457B">
        <w:rPr>
          <w:rFonts w:ascii="Times New Roman" w:eastAsia="Times New Roman" w:hAnsi="Times New Roman"/>
        </w:rPr>
        <w:t>siektų rengti baigiamąjį darbą</w:t>
      </w:r>
      <w:r w:rsidR="00D62B7F">
        <w:rPr>
          <w:rFonts w:ascii="Times New Roman" w:eastAsia="Times New Roman" w:hAnsi="Times New Roman"/>
        </w:rPr>
        <w:t>;</w:t>
      </w:r>
    </w:p>
    <w:p w14:paraId="180CB33A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bakalauro diplomo ir jo priedėlio kopijas;</w:t>
      </w:r>
    </w:p>
    <w:p w14:paraId="3A447C68" w14:textId="77777777" w:rsidR="00E376D2" w:rsidRPr="00E376D2" w:rsidRDefault="00E376D2" w:rsidP="00E376D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70656E6E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7E4A6B31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645879D5" w14:textId="77777777" w:rsidR="00E376D2" w:rsidRPr="00E376D2" w:rsidRDefault="00E376D2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D734D37" w14:textId="07FF331C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Studijų administravimo </w:t>
      </w:r>
      <w:r w:rsidRPr="00386790">
        <w:rPr>
          <w:rFonts w:ascii="Times New Roman" w:hAnsi="Times New Roman" w:cs="Times New Roman"/>
          <w:lang w:val="lt-LT"/>
        </w:rPr>
        <w:t xml:space="preserve">skyriui (el. paštu adresu: </w:t>
      </w:r>
      <w:hyperlink r:id="rId6" w:history="1">
        <w:r w:rsidR="00386790" w:rsidRPr="00CD0A80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386790">
        <w:rPr>
          <w:rFonts w:ascii="Times New Roman" w:hAnsi="Times New Roman" w:cs="Times New Roman"/>
          <w:lang w:val="lt-LT"/>
        </w:rPr>
        <w:t xml:space="preserve">) ir UAB „Thermo Fisher Scientific Baltics“ (el. paštu adresu: </w:t>
      </w:r>
      <w:hyperlink r:id="rId7" w:history="1">
        <w:r w:rsidR="002E2B37" w:rsidRPr="00386790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386790">
        <w:rPr>
          <w:rFonts w:ascii="Times New Roman" w:hAnsi="Times New Roman" w:cs="Times New Roman"/>
          <w:lang w:val="lt-LT"/>
        </w:rPr>
        <w:t xml:space="preserve">), el. laiško pavadinime nurodant: Paraiška „Thermo Fisher Scientific“ </w:t>
      </w:r>
      <w:r w:rsidR="002E2B37" w:rsidRPr="00386790">
        <w:rPr>
          <w:rFonts w:ascii="Times New Roman" w:hAnsi="Times New Roman" w:cs="Times New Roman"/>
          <w:lang w:val="lt-LT"/>
        </w:rPr>
        <w:t xml:space="preserve">vardinei </w:t>
      </w:r>
      <w:r w:rsidRPr="00386790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73C324BB" w:rsidR="00447CFA" w:rsidRPr="00E376D2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13. </w:t>
      </w:r>
      <w:r w:rsidRPr="00E11C22">
        <w:rPr>
          <w:rFonts w:ascii="Times New Roman" w:hAnsi="Times New Roman" w:cs="Times New Roman"/>
          <w:lang w:val="lt-LT"/>
        </w:rPr>
        <w:t>Skirdama Stipendiją, Komisija įvertina studento studijų rezultatus ir pažangumą (</w:t>
      </w:r>
      <w:bookmarkStart w:id="0" w:name="_Hlk79586456"/>
      <w:r w:rsidR="00E376D2" w:rsidRPr="00E11C22">
        <w:rPr>
          <w:rFonts w:ascii="Times New Roman" w:eastAsia="Times New Roman" w:hAnsi="Times New Roman" w:cs="Times New Roman"/>
          <w:lang w:val="lt-LT"/>
        </w:rPr>
        <w:t>bakalauro</w:t>
      </w:r>
      <w:r w:rsidR="00E11C22" w:rsidRPr="00E11C22">
        <w:rPr>
          <w:rFonts w:ascii="Times New Roman" w:eastAsia="Times New Roman" w:hAnsi="Times New Roman" w:cs="Times New Roman"/>
          <w:lang w:val="lt-LT"/>
        </w:rPr>
        <w:t xml:space="preserve"> baigiamojo darbo (egzaminų) įvertinimas ir</w:t>
      </w:r>
      <w:r w:rsidR="00E376D2" w:rsidRPr="00E11C22">
        <w:rPr>
          <w:rFonts w:ascii="Times New Roman" w:eastAsia="Times New Roman" w:hAnsi="Times New Roman" w:cs="Times New Roman"/>
          <w:lang w:val="lt-LT"/>
        </w:rPr>
        <w:t xml:space="preserve"> studijų pagrindinės studijų krypties (šakos) dalykų svertinis vidurkis ne mažiau kaip 8 balai</w:t>
      </w:r>
      <w:bookmarkEnd w:id="0"/>
      <w:r w:rsidRPr="00E11C22">
        <w:rPr>
          <w:rFonts w:ascii="Times New Roman" w:hAnsi="Times New Roman" w:cs="Times New Roman"/>
          <w:lang w:val="lt-LT"/>
        </w:rPr>
        <w:t>), motyvaciją</w:t>
      </w:r>
      <w:r w:rsidRPr="00E376D2">
        <w:rPr>
          <w:rFonts w:ascii="Times New Roman" w:hAnsi="Times New Roman" w:cs="Times New Roman"/>
          <w:lang w:val="lt-LT"/>
        </w:rPr>
        <w:t xml:space="preserve"> ir praktinius tiriamojo darbo</w:t>
      </w:r>
      <w:r w:rsidR="00C53DE4" w:rsidRPr="00E376D2">
        <w:rPr>
          <w:rFonts w:ascii="Times New Roman" w:hAnsi="Times New Roman" w:cs="Times New Roman"/>
          <w:lang w:val="lt-LT"/>
        </w:rPr>
        <w:t xml:space="preserve"> </w:t>
      </w:r>
      <w:r w:rsidRPr="00E376D2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4929283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14. Paskirta Stipendija peržiūrima kas semestrą</w:t>
      </w:r>
      <w:r w:rsidRPr="00386790">
        <w:rPr>
          <w:rFonts w:ascii="Times New Roman" w:hAnsi="Times New Roman" w:cs="Times New Roman"/>
          <w:lang w:val="lt-LT"/>
        </w:rPr>
        <w:t xml:space="preserve"> ir stipendininkas gali prarasti teisę į ją ar jos mokėjimas gali būti nutrauktas ar sustabdytas šių Stipendijos skyrimo nuostatuose, patvirtintuose </w:t>
      </w:r>
      <w:r w:rsidR="007829AD">
        <w:rPr>
          <w:rFonts w:ascii="Times New Roman" w:hAnsi="Times New Roman" w:cs="Times New Roman"/>
          <w:lang w:val="lt-LT"/>
        </w:rPr>
        <w:t>Vilniaus univer</w:t>
      </w:r>
      <w:r w:rsidR="007E2B67" w:rsidRPr="00386790">
        <w:rPr>
          <w:rFonts w:ascii="Times New Roman" w:hAnsi="Times New Roman" w:cs="Times New Roman"/>
          <w:lang w:val="lt-LT"/>
        </w:rPr>
        <w:t>siteto studijų prorektoriaus įsakymu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2BBE9039" w14:textId="3BD3B43F" w:rsidR="00447CFA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513D540B" w14:textId="1CA0EEE4" w:rsidR="00F702F0" w:rsidRPr="007829AD" w:rsidRDefault="00CA6E5E" w:rsidP="00F702F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16</w:t>
      </w:r>
      <w:r w:rsidR="00F702F0" w:rsidRPr="007829AD">
        <w:rPr>
          <w:rFonts w:ascii="Times New Roman" w:hAnsi="Times New Roman" w:cs="Times New Roman"/>
          <w:lang w:val="lt-LT"/>
        </w:rPr>
        <w:t>. Paskyrus Stipendiją, jos gavėjas nepraranda galimybės gauti valstybės ar kitokias stipendijas. Buvęs šios vardinės Stipendijos gavėjas gali pakartotinai pretenduoti, ir jam Stipendija gali būti paskirta kelis kartus.</w:t>
      </w:r>
    </w:p>
    <w:p w14:paraId="5B40392F" w14:textId="4BE7A8B9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7</w:t>
      </w:r>
      <w:r w:rsidRPr="00386790">
        <w:rPr>
          <w:rFonts w:ascii="Times New Roman" w:hAnsi="Times New Roman" w:cs="Times New Roman"/>
          <w:lang w:val="lt-LT"/>
        </w:rPr>
        <w:t xml:space="preserve">. Stipendijos konkurso sąlygos yra parengtos remiantis UAB „Thermo Fisher Scientific Baltics“ ir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>bendradarbiavimo sutartimi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42C17543" w14:textId="77F03CDD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8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386790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2BC70B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6E12DF31" w14:textId="0AE07ECB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49DEAAEC" w14:textId="37FCA2E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2019AC8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38D438A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20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="004C031C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 xml:space="preserve"> m. </w:t>
      </w:r>
      <w:r w:rsidR="00596DA6">
        <w:rPr>
          <w:rFonts w:ascii="Times New Roman" w:hAnsi="Times New Roman" w:cs="Times New Roman"/>
          <w:lang w:val="lt-LT"/>
        </w:rPr>
        <w:t>gegužės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4C031C">
        <w:rPr>
          <w:rFonts w:ascii="Times New Roman" w:hAnsi="Times New Roman" w:cs="Times New Roman"/>
          <w:lang w:val="lt-LT"/>
        </w:rPr>
        <w:t xml:space="preserve">11 </w:t>
      </w:r>
      <w:r w:rsidRPr="00386790">
        <w:rPr>
          <w:rFonts w:ascii="Times New Roman" w:hAnsi="Times New Roman" w:cs="Times New Roman"/>
          <w:lang w:val="lt-LT"/>
        </w:rPr>
        <w:t xml:space="preserve">d. </w:t>
      </w:r>
    </w:p>
    <w:sectPr w:rsidR="00447CFA" w:rsidRPr="00386790" w:rsidSect="001F5AD4">
      <w:pgSz w:w="11906" w:h="16838"/>
      <w:pgMar w:top="709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B37"/>
    <w:multiLevelType w:val="hybridMultilevel"/>
    <w:tmpl w:val="83F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0D01"/>
    <w:multiLevelType w:val="hybridMultilevel"/>
    <w:tmpl w:val="55C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92760"/>
    <w:multiLevelType w:val="hybridMultilevel"/>
    <w:tmpl w:val="FFFFFFFF"/>
    <w:lvl w:ilvl="0" w:tplc="54BE7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F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4A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9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21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4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B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A2671"/>
    <w:multiLevelType w:val="hybridMultilevel"/>
    <w:tmpl w:val="FFFFFFFF"/>
    <w:lvl w:ilvl="0" w:tplc="FD22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6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5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3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690C"/>
    <w:multiLevelType w:val="hybridMultilevel"/>
    <w:tmpl w:val="94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96A9B"/>
    <w:multiLevelType w:val="hybridMultilevel"/>
    <w:tmpl w:val="FFFFFFFF"/>
    <w:lvl w:ilvl="0" w:tplc="845C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A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B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85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3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2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0D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3184">
    <w:abstractNumId w:val="8"/>
  </w:num>
  <w:num w:numId="2" w16cid:durableId="1427070315">
    <w:abstractNumId w:val="7"/>
  </w:num>
  <w:num w:numId="3" w16cid:durableId="1417242839">
    <w:abstractNumId w:val="9"/>
  </w:num>
  <w:num w:numId="4" w16cid:durableId="1554199114">
    <w:abstractNumId w:val="2"/>
  </w:num>
  <w:num w:numId="5" w16cid:durableId="831339058">
    <w:abstractNumId w:val="4"/>
  </w:num>
  <w:num w:numId="6" w16cid:durableId="770441646">
    <w:abstractNumId w:val="0"/>
  </w:num>
  <w:num w:numId="7" w16cid:durableId="742144618">
    <w:abstractNumId w:val="5"/>
  </w:num>
  <w:num w:numId="8" w16cid:durableId="1162282426">
    <w:abstractNumId w:val="13"/>
  </w:num>
  <w:num w:numId="9" w16cid:durableId="19286735">
    <w:abstractNumId w:val="3"/>
  </w:num>
  <w:num w:numId="10" w16cid:durableId="1807426633">
    <w:abstractNumId w:val="1"/>
  </w:num>
  <w:num w:numId="11" w16cid:durableId="2135294706">
    <w:abstractNumId w:val="6"/>
  </w:num>
  <w:num w:numId="12" w16cid:durableId="428551089">
    <w:abstractNumId w:val="11"/>
  </w:num>
  <w:num w:numId="13" w16cid:durableId="1394162867">
    <w:abstractNumId w:val="12"/>
  </w:num>
  <w:num w:numId="14" w16cid:durableId="808353383">
    <w:abstractNumId w:val="14"/>
  </w:num>
  <w:num w:numId="15" w16cid:durableId="331416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56493"/>
    <w:rsid w:val="00057CA8"/>
    <w:rsid w:val="000C57D3"/>
    <w:rsid w:val="000D1AA7"/>
    <w:rsid w:val="00127BCB"/>
    <w:rsid w:val="0018041F"/>
    <w:rsid w:val="001A3AF8"/>
    <w:rsid w:val="001F5AD4"/>
    <w:rsid w:val="00254311"/>
    <w:rsid w:val="00272C00"/>
    <w:rsid w:val="002E2B37"/>
    <w:rsid w:val="00305213"/>
    <w:rsid w:val="0035200C"/>
    <w:rsid w:val="00386790"/>
    <w:rsid w:val="003A7FAC"/>
    <w:rsid w:val="003F16A6"/>
    <w:rsid w:val="003F3962"/>
    <w:rsid w:val="00445491"/>
    <w:rsid w:val="00447CFA"/>
    <w:rsid w:val="00490C01"/>
    <w:rsid w:val="004C031C"/>
    <w:rsid w:val="00596DA6"/>
    <w:rsid w:val="005E2942"/>
    <w:rsid w:val="00622A77"/>
    <w:rsid w:val="006E4420"/>
    <w:rsid w:val="00737AF4"/>
    <w:rsid w:val="00771647"/>
    <w:rsid w:val="007829AD"/>
    <w:rsid w:val="00790CBD"/>
    <w:rsid w:val="00791006"/>
    <w:rsid w:val="007E2B67"/>
    <w:rsid w:val="00847A9A"/>
    <w:rsid w:val="00860607"/>
    <w:rsid w:val="00865585"/>
    <w:rsid w:val="0096310A"/>
    <w:rsid w:val="00A05205"/>
    <w:rsid w:val="00A4044F"/>
    <w:rsid w:val="00A53D09"/>
    <w:rsid w:val="00C00F4A"/>
    <w:rsid w:val="00C53DE4"/>
    <w:rsid w:val="00C968BB"/>
    <w:rsid w:val="00CA648A"/>
    <w:rsid w:val="00CA6E5E"/>
    <w:rsid w:val="00CE04F0"/>
    <w:rsid w:val="00D128BE"/>
    <w:rsid w:val="00D62B7F"/>
    <w:rsid w:val="00D73F3F"/>
    <w:rsid w:val="00D87930"/>
    <w:rsid w:val="00DA457B"/>
    <w:rsid w:val="00E11C22"/>
    <w:rsid w:val="00E14FCB"/>
    <w:rsid w:val="00E376D2"/>
    <w:rsid w:val="00E770A6"/>
    <w:rsid w:val="00EB33C1"/>
    <w:rsid w:val="00F3027C"/>
    <w:rsid w:val="00F31B6D"/>
    <w:rsid w:val="00F702F0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Normal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DefaultParagraphFont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7"/>
    <w:rPr>
      <w:rFonts w:ascii="Segoe U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@thermofish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gita.alonderyte@cr.v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9F73-4978-48B9-AE53-0CE53F18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8687</Words>
  <Characters>4953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43</cp:revision>
  <dcterms:created xsi:type="dcterms:W3CDTF">2020-04-27T11:38:00Z</dcterms:created>
  <dcterms:modified xsi:type="dcterms:W3CDTF">2023-05-10T14:55:00Z</dcterms:modified>
</cp:coreProperties>
</file>