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36D0" w14:textId="77777777" w:rsidR="0074206B" w:rsidRPr="0074206B" w:rsidRDefault="0074206B" w:rsidP="0074206B">
      <w:pPr>
        <w:spacing w:after="0"/>
        <w:jc w:val="center"/>
        <w:rPr>
          <w:rFonts w:ascii="Arial" w:hAnsi="Arial" w:cs="Arial"/>
        </w:rPr>
      </w:pPr>
      <w:r w:rsidRPr="0074206B">
        <w:rPr>
          <w:rFonts w:ascii="Arial" w:hAnsi="Arial" w:cs="Arial"/>
          <w:noProof/>
          <w:lang w:val="lt-LT" w:eastAsia="lt-LT"/>
        </w:rPr>
        <w:drawing>
          <wp:inline distT="0" distB="0" distL="0" distR="0" wp14:anchorId="770F3A92" wp14:editId="1E46F6EA">
            <wp:extent cx="803910" cy="90170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9AE31" w14:textId="77777777" w:rsidR="0074206B" w:rsidRPr="0074206B" w:rsidRDefault="0074206B" w:rsidP="0074206B">
      <w:pPr>
        <w:spacing w:after="0"/>
        <w:jc w:val="center"/>
        <w:rPr>
          <w:rFonts w:ascii="Arial" w:hAnsi="Arial" w:cs="Arial"/>
        </w:rPr>
      </w:pPr>
    </w:p>
    <w:p w14:paraId="31CC658B" w14:textId="77777777" w:rsidR="0074206B" w:rsidRPr="0074206B" w:rsidRDefault="0074206B" w:rsidP="0074206B">
      <w:pPr>
        <w:spacing w:after="0" w:line="0" w:lineRule="atLeast"/>
        <w:ind w:right="26"/>
        <w:jc w:val="center"/>
        <w:rPr>
          <w:rFonts w:ascii="Arial" w:eastAsia="Arial" w:hAnsi="Arial" w:cs="Arial"/>
          <w:b/>
          <w:color w:val="63002C"/>
        </w:rPr>
      </w:pPr>
      <w:r w:rsidRPr="0074206B">
        <w:rPr>
          <w:rFonts w:ascii="Arial" w:eastAsia="Arial" w:hAnsi="Arial" w:cs="Arial"/>
          <w:b/>
          <w:color w:val="63002C"/>
        </w:rPr>
        <w:t>VILNIAUS UNIVERSITETAS</w:t>
      </w:r>
    </w:p>
    <w:p w14:paraId="096053E0" w14:textId="77777777" w:rsidR="0074206B" w:rsidRPr="0074206B" w:rsidRDefault="0074206B" w:rsidP="0074206B">
      <w:pPr>
        <w:spacing w:after="0"/>
        <w:jc w:val="center"/>
        <w:rPr>
          <w:rFonts w:ascii="Arial" w:hAnsi="Arial" w:cs="Arial"/>
          <w:sz w:val="24"/>
          <w:szCs w:val="24"/>
          <w:lang w:val="lt-LT"/>
        </w:rPr>
      </w:pPr>
    </w:p>
    <w:p w14:paraId="4F7E6BB3" w14:textId="49913C13" w:rsidR="008930BA" w:rsidRPr="0074206B" w:rsidRDefault="00E54461" w:rsidP="0010218C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  <w:lang w:val="lt-LT"/>
        </w:rPr>
      </w:pPr>
      <w:r>
        <w:rPr>
          <w:rFonts w:ascii="Arial" w:hAnsi="Arial" w:cs="Arial"/>
          <w:b/>
          <w:sz w:val="24"/>
          <w:szCs w:val="24"/>
          <w:lang w:val="lt-LT"/>
        </w:rPr>
        <w:t>TATJANOS KOCHANĖS</w:t>
      </w:r>
      <w:r w:rsidR="0074206B" w:rsidRPr="0074206B">
        <w:rPr>
          <w:rFonts w:ascii="Arial" w:hAnsi="Arial" w:cs="Arial"/>
          <w:b/>
          <w:sz w:val="24"/>
          <w:szCs w:val="24"/>
          <w:lang w:val="lt-LT"/>
        </w:rPr>
        <w:t xml:space="preserve"> GYVENIMO APRAŠYMAS</w:t>
      </w:r>
    </w:p>
    <w:p w14:paraId="3FF69C20" w14:textId="77777777" w:rsidR="0074206B" w:rsidRPr="0074206B" w:rsidRDefault="0074206B" w:rsidP="0074206B">
      <w:pPr>
        <w:spacing w:after="0"/>
        <w:jc w:val="center"/>
        <w:rPr>
          <w:rFonts w:ascii="Arial" w:hAnsi="Arial" w:cs="Arial"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872"/>
        <w:gridCol w:w="614"/>
        <w:gridCol w:w="344"/>
        <w:gridCol w:w="1186"/>
        <w:gridCol w:w="184"/>
        <w:gridCol w:w="909"/>
        <w:gridCol w:w="70"/>
        <w:gridCol w:w="793"/>
        <w:gridCol w:w="121"/>
        <w:gridCol w:w="1151"/>
        <w:gridCol w:w="406"/>
        <w:gridCol w:w="483"/>
        <w:gridCol w:w="1421"/>
      </w:tblGrid>
      <w:tr w:rsidR="0010218C" w:rsidRPr="0074206B" w14:paraId="63FF1FC0" w14:textId="77777777" w:rsidTr="0010218C">
        <w:trPr>
          <w:cantSplit/>
          <w:trHeight w:val="265"/>
        </w:trPr>
        <w:tc>
          <w:tcPr>
            <w:tcW w:w="1559" w:type="pct"/>
            <w:gridSpan w:val="4"/>
            <w:vAlign w:val="bottom"/>
          </w:tcPr>
          <w:p w14:paraId="72D05941" w14:textId="66A94F2A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2259" w:type="pct"/>
            <w:gridSpan w:val="7"/>
            <w:vAlign w:val="bottom"/>
          </w:tcPr>
          <w:p w14:paraId="3DFD0674" w14:textId="56AE6588" w:rsidR="0074206B" w:rsidRPr="00AD217F" w:rsidRDefault="00E54461" w:rsidP="0074206B">
            <w:pPr>
              <w:pStyle w:val="cvturinys"/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u w:val="none"/>
                <w:lang w:val="lt-LT"/>
              </w:rPr>
            </w:pPr>
            <w:r w:rsidRPr="00AD217F">
              <w:rPr>
                <w:rFonts w:ascii="Arial" w:hAnsi="Arial" w:cs="Arial"/>
                <w:noProof/>
                <w:sz w:val="24"/>
                <w:szCs w:val="24"/>
                <w:u w:val="none"/>
                <w:lang w:val="lt-LT"/>
              </w:rPr>
              <w:t>Tatjana Kochanė</w:t>
            </w:r>
          </w:p>
        </w:tc>
        <w:tc>
          <w:tcPr>
            <w:tcW w:w="1182" w:type="pct"/>
            <w:gridSpan w:val="3"/>
            <w:vAlign w:val="center"/>
          </w:tcPr>
          <w:p w14:paraId="2EED6316" w14:textId="64515388" w:rsidR="0074206B" w:rsidRPr="0074206B" w:rsidRDefault="00E54461" w:rsidP="0074206B">
            <w:pPr>
              <w:widowControl w:val="0"/>
              <w:tabs>
                <w:tab w:val="left" w:pos="284"/>
              </w:tabs>
              <w:spacing w:after="0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  <w:lang w:val="lt-LT"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6D63593" wp14:editId="3EABCE0B">
                  <wp:extent cx="704850" cy="1057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63" cy="10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B" w:rsidRPr="0074206B" w14:paraId="3EA69DE1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7F10438B" w14:textId="743AA430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Išsilavinimas</w:t>
            </w:r>
          </w:p>
          <w:p w14:paraId="04E4474A" w14:textId="77777777" w:rsidR="00E54461" w:rsidRPr="00E54461" w:rsidRDefault="00E54461" w:rsidP="00E54461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</w:pP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>•</w:t>
            </w: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ab/>
              <w:t>1997 m. baigė Pranciškaus Skorinos vidurinę mokyklą;</w:t>
            </w:r>
          </w:p>
          <w:p w14:paraId="448F89D2" w14:textId="77777777" w:rsidR="00E54461" w:rsidRPr="00E54461" w:rsidRDefault="00E54461" w:rsidP="00E54461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</w:pP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>•</w:t>
            </w: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ab/>
              <w:t>2001 m. baigė Vilniaus universiteto Chemijos fakultetą (aukštasis universitetinis, chemiko kvalifikacija, bakalauro laipsnis);</w:t>
            </w:r>
          </w:p>
          <w:p w14:paraId="2DFC2F12" w14:textId="51A71002" w:rsidR="0074206B" w:rsidRPr="0074206B" w:rsidRDefault="00E54461" w:rsidP="00E54461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lt-LT"/>
              </w:rPr>
            </w:pP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>•</w:t>
            </w:r>
            <w:r w:rsidRPr="00E54461">
              <w:rPr>
                <w:rFonts w:ascii="Arial" w:hAnsi="Arial" w:cs="Arial"/>
                <w:bCs/>
                <w:i/>
                <w:spacing w:val="-4"/>
                <w:sz w:val="24"/>
                <w:szCs w:val="24"/>
                <w:lang w:val="lt-LT"/>
              </w:rPr>
              <w:tab/>
              <w:t>2003 m. baigė Vilniaus universiteto Chemijos fakultetą (aukštasis universitetinis, chemiko kvalifikacija, magistro laipsnis)</w:t>
            </w:r>
          </w:p>
        </w:tc>
      </w:tr>
      <w:tr w:rsidR="0010218C" w:rsidRPr="0074206B" w14:paraId="008BA083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1903A080" w14:textId="77777777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Institucija</w:t>
            </w:r>
          </w:p>
        </w:tc>
        <w:tc>
          <w:tcPr>
            <w:tcW w:w="2259" w:type="pct"/>
            <w:gridSpan w:val="7"/>
            <w:vAlign w:val="center"/>
          </w:tcPr>
          <w:p w14:paraId="3B310739" w14:textId="5C1D0BFF" w:rsidR="0074206B" w:rsidRPr="0074206B" w:rsidRDefault="00D8444D" w:rsidP="00D8444D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>K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valifikacinis </w:t>
            </w:r>
            <w:r w:rsidR="0074206B"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laipsnis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ir (ar)</w:t>
            </w:r>
            <w:r w:rsidR="00E33AD8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>p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rofesinė kvalifikacija, </w:t>
            </w:r>
            <w:r w:rsidR="0074206B"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mokslo 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(meno) daktaro </w:t>
            </w:r>
            <w:r w:rsidR="0074206B"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laipsnis </w:t>
            </w:r>
          </w:p>
        </w:tc>
        <w:tc>
          <w:tcPr>
            <w:tcW w:w="1182" w:type="pct"/>
            <w:gridSpan w:val="3"/>
            <w:vAlign w:val="center"/>
          </w:tcPr>
          <w:p w14:paraId="62EEDC70" w14:textId="77777777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Metai</w:t>
            </w:r>
          </w:p>
        </w:tc>
      </w:tr>
      <w:tr w:rsidR="0010218C" w:rsidRPr="0074206B" w14:paraId="2D7F209F" w14:textId="77777777" w:rsidTr="0010218C">
        <w:trPr>
          <w:cantSplit/>
          <w:trHeight w:val="20"/>
        </w:trPr>
        <w:tc>
          <w:tcPr>
            <w:tcW w:w="1559" w:type="pct"/>
            <w:gridSpan w:val="4"/>
          </w:tcPr>
          <w:p w14:paraId="079983AE" w14:textId="15CD2C64" w:rsidR="0074206B" w:rsidRPr="0074206B" w:rsidRDefault="00E54461" w:rsidP="0074206B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noProof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lt-LT"/>
              </w:rPr>
              <w:t xml:space="preserve">Vilniaus </w:t>
            </w:r>
            <w:r w:rsidR="00DC4AF7">
              <w:rPr>
                <w:rFonts w:ascii="Arial" w:hAnsi="Arial" w:cs="Arial"/>
                <w:noProof/>
                <w:sz w:val="24"/>
                <w:szCs w:val="24"/>
                <w:lang w:val="lt-LT"/>
              </w:rPr>
              <w:t>u</w:t>
            </w:r>
            <w:r>
              <w:rPr>
                <w:rFonts w:ascii="Arial" w:hAnsi="Arial" w:cs="Arial"/>
                <w:noProof/>
                <w:sz w:val="24"/>
                <w:szCs w:val="24"/>
                <w:lang w:val="lt-LT"/>
              </w:rPr>
              <w:t>niversitetas</w:t>
            </w:r>
          </w:p>
        </w:tc>
        <w:tc>
          <w:tcPr>
            <w:tcW w:w="2259" w:type="pct"/>
            <w:gridSpan w:val="7"/>
          </w:tcPr>
          <w:p w14:paraId="275D65A2" w14:textId="0917D599" w:rsidR="0074206B" w:rsidRPr="00EC2F41" w:rsidRDefault="00E54461" w:rsidP="00E54461">
            <w:pPr>
              <w:spacing w:after="0"/>
              <w:jc w:val="both"/>
              <w:rPr>
                <w:rFonts w:ascii="Arial" w:hAnsi="Arial" w:cs="Arial"/>
                <w:noProof/>
                <w:sz w:val="24"/>
                <w:szCs w:val="24"/>
                <w:lang w:val="lt-LT"/>
              </w:rPr>
            </w:pPr>
            <w:r w:rsidRPr="00EC2F41">
              <w:rPr>
                <w:rFonts w:ascii="Arial" w:hAnsi="Arial" w:cs="Arial"/>
                <w:color w:val="000000"/>
                <w:sz w:val="24"/>
                <w:szCs w:val="24"/>
                <w:lang w:val="lt-LT"/>
              </w:rPr>
              <w:t>Fizinių mokslų chemijos krypties daktaro laipsnis</w:t>
            </w:r>
            <w:r w:rsidRPr="00EC2F41">
              <w:rPr>
                <w:rFonts w:ascii="Arial" w:hAnsi="Arial" w:cs="Arial"/>
                <w:sz w:val="24"/>
                <w:szCs w:val="24"/>
                <w:lang w:val="lt-LT"/>
              </w:rPr>
              <w:t xml:space="preserve"> (chemija 03P)</w:t>
            </w:r>
          </w:p>
        </w:tc>
        <w:tc>
          <w:tcPr>
            <w:tcW w:w="1182" w:type="pct"/>
            <w:gridSpan w:val="3"/>
          </w:tcPr>
          <w:p w14:paraId="4510B867" w14:textId="67F8EEA3" w:rsidR="0074206B" w:rsidRPr="00EC2F41" w:rsidRDefault="00E54461" w:rsidP="0074206B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noProof/>
                <w:sz w:val="24"/>
                <w:szCs w:val="24"/>
                <w:lang w:val="lt-LT"/>
              </w:rPr>
            </w:pPr>
            <w:r w:rsidRPr="00EC2F41">
              <w:rPr>
                <w:rFonts w:ascii="Arial" w:hAnsi="Arial" w:cs="Arial"/>
                <w:sz w:val="24"/>
                <w:szCs w:val="24"/>
                <w:lang w:val="lt-LT"/>
              </w:rPr>
              <w:t>2008</w:t>
            </w:r>
          </w:p>
        </w:tc>
      </w:tr>
      <w:tr w:rsidR="0074206B" w:rsidRPr="0074206B" w14:paraId="7BC536F1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3DA4F12E" w14:textId="08B9BE86" w:rsidR="0074206B" w:rsidRPr="00EC2F41" w:rsidRDefault="0074206B" w:rsidP="0074206B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Darbo patirtis</w:t>
            </w:r>
          </w:p>
        </w:tc>
      </w:tr>
      <w:tr w:rsidR="0010218C" w:rsidRPr="0074206B" w14:paraId="4D6BC73A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57D9B575" w14:textId="77777777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Darbovietė</w:t>
            </w:r>
          </w:p>
        </w:tc>
        <w:tc>
          <w:tcPr>
            <w:tcW w:w="2259" w:type="pct"/>
            <w:gridSpan w:val="7"/>
            <w:vAlign w:val="center"/>
          </w:tcPr>
          <w:p w14:paraId="561337B9" w14:textId="77777777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Pareigos / Darbo pobūdis</w:t>
            </w:r>
          </w:p>
        </w:tc>
        <w:tc>
          <w:tcPr>
            <w:tcW w:w="1182" w:type="pct"/>
            <w:gridSpan w:val="3"/>
            <w:vAlign w:val="center"/>
          </w:tcPr>
          <w:p w14:paraId="3A4D9577" w14:textId="77777777" w:rsidR="0074206B" w:rsidRPr="0074206B" w:rsidRDefault="0074206B" w:rsidP="0074206B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Metai</w:t>
            </w:r>
          </w:p>
        </w:tc>
      </w:tr>
      <w:tr w:rsidR="008A1500" w:rsidRPr="0074206B" w14:paraId="2B8F9307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207515BA" w14:textId="161ADFB8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2259" w:type="pct"/>
            <w:gridSpan w:val="7"/>
            <w:vAlign w:val="center"/>
          </w:tcPr>
          <w:p w14:paraId="46CF497A" w14:textId="4BC52E51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laborantė</w:t>
            </w:r>
          </w:p>
        </w:tc>
        <w:tc>
          <w:tcPr>
            <w:tcW w:w="1182" w:type="pct"/>
            <w:gridSpan w:val="3"/>
            <w:vAlign w:val="center"/>
          </w:tcPr>
          <w:p w14:paraId="19429D0C" w14:textId="0E6C0546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2001-2002</w:t>
            </w:r>
          </w:p>
        </w:tc>
      </w:tr>
      <w:tr w:rsidR="008A1500" w:rsidRPr="0074206B" w14:paraId="7A2463AA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57347A91" w14:textId="3421F6C5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2259" w:type="pct"/>
            <w:gridSpan w:val="7"/>
            <w:vAlign w:val="center"/>
          </w:tcPr>
          <w:p w14:paraId="134EFFC5" w14:textId="22D1757D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inžinierė</w:t>
            </w:r>
          </w:p>
        </w:tc>
        <w:tc>
          <w:tcPr>
            <w:tcW w:w="1182" w:type="pct"/>
            <w:gridSpan w:val="3"/>
            <w:vAlign w:val="center"/>
          </w:tcPr>
          <w:p w14:paraId="58B6DC0A" w14:textId="286C20EB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2002-2003</w:t>
            </w:r>
          </w:p>
        </w:tc>
      </w:tr>
      <w:tr w:rsidR="008A1500" w:rsidRPr="0074206B" w14:paraId="11FEB67D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086B1862" w14:textId="353DE02B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2259" w:type="pct"/>
            <w:gridSpan w:val="7"/>
            <w:vAlign w:val="center"/>
          </w:tcPr>
          <w:p w14:paraId="0F931BD4" w14:textId="741714BE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lektorė</w:t>
            </w:r>
          </w:p>
        </w:tc>
        <w:tc>
          <w:tcPr>
            <w:tcW w:w="1182" w:type="pct"/>
            <w:gridSpan w:val="3"/>
            <w:vAlign w:val="center"/>
          </w:tcPr>
          <w:p w14:paraId="199F5EA6" w14:textId="0FFBAB21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2006-2007</w:t>
            </w:r>
          </w:p>
        </w:tc>
      </w:tr>
      <w:tr w:rsidR="008A1500" w:rsidRPr="0074206B" w14:paraId="3AB5DE44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2E41AE65" w14:textId="0E38EB45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Biotechnologijos institutas</w:t>
            </w:r>
          </w:p>
        </w:tc>
        <w:tc>
          <w:tcPr>
            <w:tcW w:w="2259" w:type="pct"/>
            <w:gridSpan w:val="7"/>
            <w:vAlign w:val="center"/>
          </w:tcPr>
          <w:p w14:paraId="28CC13F6" w14:textId="5AFEC35D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proofErr w:type="spellStart"/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bioinžinierė</w:t>
            </w:r>
            <w:proofErr w:type="spellEnd"/>
          </w:p>
        </w:tc>
        <w:tc>
          <w:tcPr>
            <w:tcW w:w="1182" w:type="pct"/>
            <w:gridSpan w:val="3"/>
            <w:vAlign w:val="center"/>
          </w:tcPr>
          <w:p w14:paraId="382691D8" w14:textId="59F0138D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2006-2007</w:t>
            </w:r>
          </w:p>
        </w:tc>
      </w:tr>
      <w:tr w:rsidR="008A1500" w:rsidRPr="0074206B" w14:paraId="56ABAE19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6E71168F" w14:textId="5B354599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Imunologijos institutas</w:t>
            </w:r>
          </w:p>
        </w:tc>
        <w:tc>
          <w:tcPr>
            <w:tcW w:w="2259" w:type="pct"/>
            <w:gridSpan w:val="7"/>
            <w:vAlign w:val="center"/>
          </w:tcPr>
          <w:p w14:paraId="037B4E2F" w14:textId="04CC3459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tyrėja</w:t>
            </w:r>
          </w:p>
        </w:tc>
        <w:tc>
          <w:tcPr>
            <w:tcW w:w="1182" w:type="pct"/>
            <w:gridSpan w:val="3"/>
            <w:vAlign w:val="center"/>
          </w:tcPr>
          <w:p w14:paraId="2C7319A6" w14:textId="5EB023A5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2008-2010</w:t>
            </w:r>
          </w:p>
        </w:tc>
      </w:tr>
      <w:tr w:rsidR="008A1500" w:rsidRPr="0074206B" w14:paraId="16E535F6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79AF91E9" w14:textId="29F94D8F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2259" w:type="pct"/>
            <w:gridSpan w:val="7"/>
            <w:vAlign w:val="center"/>
          </w:tcPr>
          <w:p w14:paraId="5F7D82B7" w14:textId="21962207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lektorė</w:t>
            </w:r>
          </w:p>
        </w:tc>
        <w:tc>
          <w:tcPr>
            <w:tcW w:w="1182" w:type="pct"/>
            <w:gridSpan w:val="3"/>
            <w:vAlign w:val="center"/>
          </w:tcPr>
          <w:p w14:paraId="6D0C960C" w14:textId="550DB432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8A1500">
              <w:rPr>
                <w:rFonts w:ascii="Arial" w:hAnsi="Arial" w:cs="Arial"/>
                <w:sz w:val="24"/>
                <w:szCs w:val="24"/>
                <w:lang w:val="lt-LT"/>
              </w:rPr>
              <w:t>2010-2015</w:t>
            </w:r>
          </w:p>
        </w:tc>
      </w:tr>
      <w:tr w:rsidR="0010218C" w:rsidRPr="0074206B" w14:paraId="6D199256" w14:textId="77777777" w:rsidTr="0010218C">
        <w:trPr>
          <w:cantSplit/>
          <w:trHeight w:val="20"/>
        </w:trPr>
        <w:tc>
          <w:tcPr>
            <w:tcW w:w="1559" w:type="pct"/>
            <w:gridSpan w:val="4"/>
            <w:tcBorders>
              <w:bottom w:val="single" w:sz="4" w:space="0" w:color="auto"/>
            </w:tcBorders>
            <w:vAlign w:val="center"/>
          </w:tcPr>
          <w:p w14:paraId="5617B673" w14:textId="64BF2E67" w:rsidR="0074206B" w:rsidRPr="00E54461" w:rsidRDefault="00E54461" w:rsidP="008A1500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E54461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2259" w:type="pct"/>
            <w:gridSpan w:val="7"/>
            <w:vAlign w:val="center"/>
          </w:tcPr>
          <w:p w14:paraId="66BF3B8F" w14:textId="21C28B6D" w:rsidR="0074206B" w:rsidRPr="00E54461" w:rsidRDefault="00796D08" w:rsidP="008A15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>D</w:t>
            </w:r>
            <w:r w:rsidR="00E54461" w:rsidRPr="00E54461">
              <w:rPr>
                <w:rFonts w:ascii="Arial" w:hAnsi="Arial" w:cs="Arial"/>
                <w:sz w:val="24"/>
                <w:szCs w:val="24"/>
                <w:lang w:val="lt-LT"/>
              </w:rPr>
              <w:t>ocentė</w:t>
            </w:r>
          </w:p>
        </w:tc>
        <w:tc>
          <w:tcPr>
            <w:tcW w:w="1182" w:type="pct"/>
            <w:gridSpan w:val="3"/>
            <w:vAlign w:val="center"/>
          </w:tcPr>
          <w:p w14:paraId="515CB85C" w14:textId="1DD6EB9A" w:rsidR="0074206B" w:rsidRPr="00E54461" w:rsidRDefault="00E54461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Nuo </w:t>
            </w:r>
            <w:r w:rsidRPr="00E54461">
              <w:rPr>
                <w:rFonts w:ascii="Arial" w:hAnsi="Arial" w:cs="Arial"/>
                <w:sz w:val="24"/>
                <w:szCs w:val="24"/>
                <w:lang w:val="lt-LT"/>
              </w:rPr>
              <w:t>20</w:t>
            </w:r>
            <w:r w:rsidRPr="00E544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A0D7D" w:rsidRPr="0074206B" w14:paraId="2BBF0AE5" w14:textId="77777777" w:rsidTr="0010218C">
        <w:trPr>
          <w:cantSplit/>
          <w:trHeight w:val="20"/>
        </w:trPr>
        <w:tc>
          <w:tcPr>
            <w:tcW w:w="1559" w:type="pct"/>
            <w:gridSpan w:val="4"/>
            <w:tcBorders>
              <w:bottom w:val="single" w:sz="4" w:space="0" w:color="auto"/>
            </w:tcBorders>
            <w:vAlign w:val="center"/>
          </w:tcPr>
          <w:p w14:paraId="2716C273" w14:textId="67DD4DEE" w:rsidR="00AA0D7D" w:rsidRPr="00E54461" w:rsidRDefault="00AA0D7D" w:rsidP="008A1500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Vilniaus </w:t>
            </w:r>
            <w:r w:rsidR="00DC4AF7">
              <w:rPr>
                <w:rFonts w:ascii="Arial" w:hAnsi="Arial" w:cs="Arial"/>
                <w:sz w:val="24"/>
                <w:szCs w:val="24"/>
                <w:lang w:val="lt-LT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lt-LT"/>
              </w:rPr>
              <w:t>niversitetas</w:t>
            </w:r>
          </w:p>
        </w:tc>
        <w:tc>
          <w:tcPr>
            <w:tcW w:w="2259" w:type="pct"/>
            <w:gridSpan w:val="7"/>
            <w:vAlign w:val="center"/>
          </w:tcPr>
          <w:p w14:paraId="2F2E8979" w14:textId="3128B581" w:rsidR="00AA0D7D" w:rsidRDefault="00AA0D7D" w:rsidP="008A15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Akademinių reikalų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lt-LT"/>
              </w:rPr>
              <w:t>prodekanė</w:t>
            </w:r>
            <w:proofErr w:type="spellEnd"/>
          </w:p>
        </w:tc>
        <w:tc>
          <w:tcPr>
            <w:tcW w:w="1182" w:type="pct"/>
            <w:gridSpan w:val="3"/>
            <w:vAlign w:val="center"/>
          </w:tcPr>
          <w:p w14:paraId="275CBCAD" w14:textId="736D9B63" w:rsidR="00AA0D7D" w:rsidRPr="00AA0D7D" w:rsidRDefault="00AA0D7D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Nuo 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41EBE" w:rsidRPr="0074206B" w14:paraId="37B2F286" w14:textId="77777777" w:rsidTr="0010218C">
        <w:trPr>
          <w:cantSplit/>
          <w:trHeight w:val="20"/>
        </w:trPr>
        <w:tc>
          <w:tcPr>
            <w:tcW w:w="2761" w:type="pct"/>
            <w:gridSpan w:val="8"/>
            <w:tcBorders>
              <w:bottom w:val="single" w:sz="4" w:space="0" w:color="auto"/>
            </w:tcBorders>
            <w:vAlign w:val="center"/>
          </w:tcPr>
          <w:p w14:paraId="2EF4716A" w14:textId="13C03B23" w:rsidR="00741EBE" w:rsidRPr="00741EBE" w:rsidRDefault="00741EBE" w:rsidP="0074206B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1EBE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Akademinės veiklos patirtis </w:t>
            </w:r>
          </w:p>
        </w:tc>
        <w:tc>
          <w:tcPr>
            <w:tcW w:w="2239" w:type="pct"/>
            <w:gridSpan w:val="6"/>
            <w:vAlign w:val="center"/>
          </w:tcPr>
          <w:p w14:paraId="5BCF3862" w14:textId="44021BF1" w:rsidR="00741EBE" w:rsidRPr="00741EBE" w:rsidRDefault="00796D08" w:rsidP="0074206B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>1</w:t>
            </w:r>
            <w:r w:rsidR="00AA0D7D"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>6</w:t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 xml:space="preserve"> metų</w:t>
            </w:r>
          </w:p>
        </w:tc>
      </w:tr>
      <w:tr w:rsidR="00741EBE" w:rsidRPr="0074206B" w14:paraId="1DA3181D" w14:textId="77777777" w:rsidTr="0010218C">
        <w:trPr>
          <w:cantSplit/>
          <w:trHeight w:val="20"/>
        </w:trPr>
        <w:tc>
          <w:tcPr>
            <w:tcW w:w="2761" w:type="pct"/>
            <w:gridSpan w:val="8"/>
            <w:tcBorders>
              <w:bottom w:val="single" w:sz="4" w:space="0" w:color="auto"/>
            </w:tcBorders>
            <w:vAlign w:val="center"/>
          </w:tcPr>
          <w:p w14:paraId="493C7195" w14:textId="500F4C94" w:rsidR="00741EBE" w:rsidRPr="00741EBE" w:rsidRDefault="00741EBE" w:rsidP="00741E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1EBE">
              <w:rPr>
                <w:rFonts w:ascii="Arial" w:hAnsi="Arial" w:cs="Arial"/>
                <w:b/>
                <w:sz w:val="24"/>
                <w:szCs w:val="24"/>
                <w:lang w:val="lt-LT"/>
              </w:rPr>
              <w:t>Profesinės veiklos (p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raktinio darbo) patirtis </w:t>
            </w:r>
          </w:p>
        </w:tc>
        <w:tc>
          <w:tcPr>
            <w:tcW w:w="2239" w:type="pct"/>
            <w:gridSpan w:val="6"/>
            <w:vAlign w:val="center"/>
          </w:tcPr>
          <w:p w14:paraId="2EDE34FA" w14:textId="59621948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noProof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>1</w:t>
            </w:r>
            <w:r w:rsidR="00AA0D7D"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>6</w:t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val="lt-LT"/>
              </w:rPr>
              <w:t xml:space="preserve"> metų</w:t>
            </w:r>
          </w:p>
        </w:tc>
      </w:tr>
      <w:tr w:rsidR="00741EBE" w:rsidRPr="0074206B" w14:paraId="418B31F4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090FE32F" w14:textId="58CEE289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Pedagogini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>s vardas ir mokslo (meno)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laipsniai</w:t>
            </w:r>
          </w:p>
        </w:tc>
      </w:tr>
      <w:tr w:rsidR="0010218C" w:rsidRPr="0074206B" w14:paraId="177E601A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14083A1B" w14:textId="46AF0E19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Vardas/ laipsnis</w:t>
            </w:r>
          </w:p>
        </w:tc>
        <w:tc>
          <w:tcPr>
            <w:tcW w:w="2259" w:type="pct"/>
            <w:gridSpan w:val="7"/>
            <w:vAlign w:val="center"/>
          </w:tcPr>
          <w:p w14:paraId="1AA9D6D5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Institucija</w:t>
            </w:r>
          </w:p>
        </w:tc>
        <w:tc>
          <w:tcPr>
            <w:tcW w:w="1182" w:type="pct"/>
            <w:gridSpan w:val="3"/>
            <w:vAlign w:val="center"/>
          </w:tcPr>
          <w:p w14:paraId="00A365A0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Metai</w:t>
            </w:r>
          </w:p>
        </w:tc>
      </w:tr>
      <w:tr w:rsidR="0010218C" w:rsidRPr="00EC2F41" w14:paraId="5A9A41F5" w14:textId="77777777" w:rsidTr="0010218C">
        <w:trPr>
          <w:cantSplit/>
          <w:trHeight w:val="20"/>
        </w:trPr>
        <w:tc>
          <w:tcPr>
            <w:tcW w:w="1559" w:type="pct"/>
            <w:gridSpan w:val="4"/>
            <w:vAlign w:val="center"/>
          </w:tcPr>
          <w:p w14:paraId="66398908" w14:textId="214A88D7" w:rsidR="00741EBE" w:rsidRPr="00EC2F41" w:rsidRDefault="00796D08" w:rsidP="00741EBE">
            <w:pPr>
              <w:widowControl w:val="0"/>
              <w:tabs>
                <w:tab w:val="left" w:pos="284"/>
              </w:tabs>
              <w:spacing w:after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EC2F41">
              <w:rPr>
                <w:rFonts w:ascii="Arial" w:hAnsi="Arial" w:cs="Arial"/>
                <w:sz w:val="24"/>
                <w:szCs w:val="24"/>
                <w:lang w:val="lt-LT"/>
              </w:rPr>
              <w:t>Docentė</w:t>
            </w:r>
          </w:p>
        </w:tc>
        <w:tc>
          <w:tcPr>
            <w:tcW w:w="2259" w:type="pct"/>
            <w:gridSpan w:val="7"/>
            <w:vAlign w:val="center"/>
          </w:tcPr>
          <w:p w14:paraId="484AD71A" w14:textId="1A3BF902" w:rsidR="00741EBE" w:rsidRPr="00EC2F41" w:rsidRDefault="00796D08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EC2F41">
              <w:rPr>
                <w:rFonts w:ascii="Arial" w:hAnsi="Arial" w:cs="Arial"/>
                <w:sz w:val="24"/>
                <w:szCs w:val="24"/>
                <w:lang w:val="lt-LT"/>
              </w:rPr>
              <w:t>Vilniaus Universitetas</w:t>
            </w:r>
          </w:p>
        </w:tc>
        <w:tc>
          <w:tcPr>
            <w:tcW w:w="1182" w:type="pct"/>
            <w:gridSpan w:val="3"/>
            <w:vAlign w:val="center"/>
          </w:tcPr>
          <w:p w14:paraId="7A2AE4D9" w14:textId="3C225A48" w:rsidR="00741EBE" w:rsidRPr="00EC2F41" w:rsidRDefault="00796D08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4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741EBE" w:rsidRPr="0074206B" w14:paraId="5AC2937C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6AE127D9" w14:textId="13D58308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Mokslinė ir pedagoginė veikla</w:t>
            </w:r>
          </w:p>
        </w:tc>
      </w:tr>
      <w:tr w:rsidR="00741EBE" w:rsidRPr="0074206B" w14:paraId="2CE62A74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75A0EC5D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Mokslinių interesų kryptys</w:t>
            </w:r>
          </w:p>
        </w:tc>
        <w:tc>
          <w:tcPr>
            <w:tcW w:w="2275" w:type="pct"/>
            <w:gridSpan w:val="7"/>
            <w:vAlign w:val="center"/>
          </w:tcPr>
          <w:p w14:paraId="39989057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Dėstomi dalykai</w:t>
            </w:r>
          </w:p>
        </w:tc>
      </w:tr>
      <w:tr w:rsidR="00741EBE" w:rsidRPr="0074206B" w14:paraId="420DB47F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14F77D9C" w14:textId="41EE9C0F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Polimerų sintezė ir modifikavimas</w:t>
            </w:r>
          </w:p>
        </w:tc>
        <w:tc>
          <w:tcPr>
            <w:tcW w:w="2275" w:type="pct"/>
            <w:gridSpan w:val="7"/>
            <w:vAlign w:val="center"/>
          </w:tcPr>
          <w:p w14:paraId="759A7880" w14:textId="79CE7B3E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Pigmentai ir dažikliai</w:t>
            </w:r>
          </w:p>
        </w:tc>
      </w:tr>
      <w:tr w:rsidR="00741EBE" w:rsidRPr="0074206B" w14:paraId="789A9BD7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22D2387E" w14:textId="0769CF7F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lastRenderedPageBreak/>
              <w:t>Fermentų imobilizavimas ant polimerinių nešiklių</w:t>
            </w:r>
          </w:p>
        </w:tc>
        <w:tc>
          <w:tcPr>
            <w:tcW w:w="2275" w:type="pct"/>
            <w:gridSpan w:val="7"/>
            <w:vAlign w:val="center"/>
          </w:tcPr>
          <w:p w14:paraId="75CDF0C5" w14:textId="21ABDFB0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Sorbentų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 chemija</w:t>
            </w:r>
          </w:p>
        </w:tc>
      </w:tr>
      <w:tr w:rsidR="00796D08" w:rsidRPr="0074206B" w14:paraId="3F2D5899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0E2D48FB" w14:textId="64E6B53F" w:rsidR="00796D08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Elastomerų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, tinkančių dirbtiniams audiniams sintezė ir tyrimas</w:t>
            </w:r>
          </w:p>
        </w:tc>
        <w:tc>
          <w:tcPr>
            <w:tcW w:w="2275" w:type="pct"/>
            <w:gridSpan w:val="7"/>
            <w:vAlign w:val="center"/>
          </w:tcPr>
          <w:p w14:paraId="7A558DC9" w14:textId="1CAFCD18" w:rsidR="00796D08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Polimerų tirpalai</w:t>
            </w:r>
          </w:p>
        </w:tc>
      </w:tr>
      <w:tr w:rsidR="00796D08" w:rsidRPr="0074206B" w14:paraId="7AD89587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06645412" w14:textId="376AD311" w:rsidR="00796D08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Pramoninių antikorozinių dangų kūrimas</w:t>
            </w:r>
          </w:p>
        </w:tc>
        <w:tc>
          <w:tcPr>
            <w:tcW w:w="2275" w:type="pct"/>
            <w:gridSpan w:val="7"/>
            <w:vAlign w:val="center"/>
          </w:tcPr>
          <w:p w14:paraId="51F9E525" w14:textId="77777777" w:rsidR="00796D08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</w:p>
        </w:tc>
      </w:tr>
      <w:tr w:rsidR="00796D08" w:rsidRPr="0074206B" w14:paraId="467A8012" w14:textId="77777777" w:rsidTr="0010218C">
        <w:trPr>
          <w:cantSplit/>
          <w:trHeight w:val="255"/>
        </w:trPr>
        <w:tc>
          <w:tcPr>
            <w:tcW w:w="2725" w:type="pct"/>
            <w:gridSpan w:val="7"/>
            <w:vAlign w:val="center"/>
          </w:tcPr>
          <w:p w14:paraId="3567AB11" w14:textId="0A49AA6D" w:rsidR="00796D08" w:rsidRDefault="00AA0D7D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Aktyvių medžiagų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lt-LT" w:eastAsia="lt-LT"/>
              </w:rPr>
              <w:t>kapsuliavimas</w:t>
            </w:r>
            <w:proofErr w:type="spellEnd"/>
          </w:p>
        </w:tc>
        <w:tc>
          <w:tcPr>
            <w:tcW w:w="2275" w:type="pct"/>
            <w:gridSpan w:val="7"/>
            <w:vAlign w:val="center"/>
          </w:tcPr>
          <w:p w14:paraId="651A8C05" w14:textId="77777777" w:rsidR="00796D08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</w:p>
        </w:tc>
      </w:tr>
      <w:tr w:rsidR="00741EBE" w:rsidRPr="0074415E" w14:paraId="15B8940E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5E59850F" w14:textId="0110748B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Paskelbti mokslo (meno) darbai ir metodinės priemonės, susiję su studijų programos kryptimi</w:t>
            </w:r>
          </w:p>
          <w:p w14:paraId="2B527754" w14:textId="7A5BF153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i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lt-LT"/>
              </w:rPr>
              <w:t>Sorbentų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 chemija. Paskaitų konspektas, elektroninis leidinys, KTU leidykla, </w:t>
            </w:r>
            <w:r w:rsidRPr="0074415E">
              <w:rPr>
                <w:rFonts w:ascii="Arial" w:hAnsi="Arial" w:cs="Arial"/>
                <w:sz w:val="24"/>
                <w:szCs w:val="24"/>
                <w:lang w:val="de-DE"/>
              </w:rPr>
              <w:t>2012.</w:t>
            </w:r>
          </w:p>
        </w:tc>
      </w:tr>
      <w:tr w:rsidR="00741EBE" w:rsidRPr="0074415E" w14:paraId="62AFA253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65149BF3" w14:textId="6F53B988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Straipsniai</w:t>
            </w:r>
            <w:r w:rsidR="00D722BA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leidiniuose,</w:t>
            </w:r>
            <w:r w:rsidR="00965297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kuriuos išleido Lietuvos mokslo tarybos patvirtintame tarptautiniu mastu pripažintų leidyklų sąraše nurodytos leidyklos</w:t>
            </w:r>
          </w:p>
        </w:tc>
      </w:tr>
      <w:tr w:rsidR="00741EBE" w:rsidRPr="0074206B" w14:paraId="3C842D3C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3F60A98B" w14:textId="77777777" w:rsidR="00AA0D7D" w:rsidRDefault="00796D08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D7D">
              <w:rPr>
                <w:rFonts w:ascii="Arial" w:hAnsi="Arial" w:cs="Arial"/>
                <w:sz w:val="24"/>
                <w:szCs w:val="24"/>
                <w:lang w:val="lt-LT"/>
              </w:rPr>
              <w:t>1.</w:t>
            </w:r>
            <w:r w:rsidRPr="00AA0D7D">
              <w:rPr>
                <w:rFonts w:ascii="Arial" w:hAnsi="Arial" w:cs="Arial"/>
                <w:sz w:val="24"/>
                <w:szCs w:val="24"/>
                <w:lang w:val="lt-LT"/>
              </w:rPr>
              <w:tab/>
            </w:r>
            <w:r w:rsidR="00AA0D7D" w:rsidRPr="00AA0D7D">
              <w:rPr>
                <w:rFonts w:ascii="Arial" w:hAnsi="Arial" w:cs="Arial"/>
                <w:sz w:val="24"/>
                <w:szCs w:val="24"/>
                <w:lang w:val="lt-LT"/>
              </w:rPr>
              <w:t>A. S</w:t>
            </w:r>
            <w:proofErr w:type="spellStart"/>
            <w:r w:rsidR="00AA0D7D" w:rsidRPr="00AA0D7D">
              <w:rPr>
                <w:rFonts w:ascii="Arial" w:hAnsi="Arial" w:cs="Arial"/>
                <w:sz w:val="24"/>
                <w:szCs w:val="24"/>
              </w:rPr>
              <w:t>trakšys</w:t>
            </w:r>
            <w:proofErr w:type="spellEnd"/>
            <w:r w:rsidR="00AA0D7D" w:rsidRPr="00AA0D7D">
              <w:rPr>
                <w:rFonts w:ascii="Arial" w:hAnsi="Arial" w:cs="Arial"/>
                <w:sz w:val="24"/>
                <w:szCs w:val="24"/>
              </w:rPr>
              <w:t xml:space="preserve">, T. Kochanė, S. </w:t>
            </w:r>
            <w:proofErr w:type="spellStart"/>
            <w:r w:rsidR="00AA0D7D" w:rsidRPr="00AA0D7D">
              <w:rPr>
                <w:rFonts w:ascii="Arial" w:hAnsi="Arial" w:cs="Arial"/>
                <w:sz w:val="24"/>
                <w:szCs w:val="24"/>
              </w:rPr>
              <w:t>Mačiulytė</w:t>
            </w:r>
            <w:proofErr w:type="spellEnd"/>
            <w:r w:rsidR="00AA0D7D" w:rsidRPr="00AA0D7D">
              <w:rPr>
                <w:rFonts w:ascii="Arial" w:hAnsi="Arial" w:cs="Arial"/>
                <w:sz w:val="24"/>
                <w:szCs w:val="24"/>
              </w:rPr>
              <w:t>, S. Budrienė</w:t>
            </w:r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. Porous </w:t>
            </w:r>
            <w:proofErr w:type="gramStart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poly(</w:t>
            </w:r>
            <w:proofErr w:type="gramEnd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urethane urea) </w:t>
            </w:r>
            <w:proofErr w:type="spellStart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microparticles</w:t>
            </w:r>
            <w:proofErr w:type="spellEnd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immobilization of </w:t>
            </w:r>
            <w:proofErr w:type="spellStart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maltogenic</w:t>
            </w:r>
            <w:proofErr w:type="spellEnd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 α amylase from Bacillus </w:t>
            </w:r>
            <w:proofErr w:type="spellStart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stearothermophilus</w:t>
            </w:r>
            <w:proofErr w:type="spellEnd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Chemija</w:t>
            </w:r>
            <w:proofErr w:type="spellEnd"/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A0D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A0D7D" w:rsidRPr="00AA0D7D">
              <w:rPr>
                <w:rFonts w:ascii="Arial" w:hAnsi="Arial" w:cs="Arial"/>
                <w:color w:val="000000"/>
                <w:sz w:val="24"/>
                <w:szCs w:val="24"/>
              </w:rPr>
              <w:t>2021. V.32 (3-4). P. 127-136.</w:t>
            </w:r>
          </w:p>
          <w:p w14:paraId="144330B5" w14:textId="1F816496" w:rsidR="00796D08" w:rsidRPr="00AA0D7D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S. Maciulyte, I.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Mamaviciute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Straksys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T. Kochane, S. Budriene.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New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urethane-urea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microcapsules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PVA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modified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with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APTES: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preparation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characterization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enzyme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encapsulation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Polymer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Bulletin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</w:t>
            </w:r>
            <w:r w:rsidRPr="00AA0D7D">
              <w:rPr>
                <w:rFonts w:ascii="Arial" w:hAnsi="Arial" w:cs="Arial"/>
                <w:sz w:val="24"/>
                <w:szCs w:val="24"/>
                <w:lang w:val="lt-LT"/>
              </w:rPr>
              <w:t xml:space="preserve">2021, </w:t>
            </w:r>
            <w:proofErr w:type="spellStart"/>
            <w:r w:rsidRPr="00AA0D7D">
              <w:rPr>
                <w:rFonts w:ascii="Arial" w:hAnsi="Arial" w:cs="Arial"/>
                <w:sz w:val="24"/>
                <w:szCs w:val="24"/>
                <w:lang w:val="lt-LT"/>
              </w:rPr>
              <w:t>vol</w:t>
            </w:r>
            <w:proofErr w:type="spellEnd"/>
            <w:r w:rsidRPr="00AA0D7D">
              <w:rPr>
                <w:rFonts w:ascii="Arial" w:hAnsi="Arial" w:cs="Arial"/>
                <w:sz w:val="24"/>
                <w:szCs w:val="24"/>
                <w:lang w:val="lt-LT"/>
              </w:rPr>
              <w:t xml:space="preserve">. 78, p. 1867-1886 </w:t>
            </w: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Kochanė, I.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Zabarauskė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L. Klimkevičienė, A. Strakšys, S. Mačiulytė, L. Navickaitė, S.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Gailiūnaitė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Budrienė.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Starch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hydrolysis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using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via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different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techniques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International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Journal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Biological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Macromolecules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2020. V. 144. P. 544-552. </w:t>
            </w:r>
          </w:p>
          <w:p w14:paraId="53E8BAEF" w14:textId="77777777" w:rsidR="00AA0D7D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4.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Kochane, S. Budriene, S.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Miasojedovas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N.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Ryskevic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Straksys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Maciulyte,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Ramanaviciene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Polyurethane-gold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polyurethane-silver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nanoparticles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conjugates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efficient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Colloids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Surfaces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A: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Physicochemical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Engineering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Aspects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2017. V. 532. P. 436-443.</w:t>
            </w:r>
          </w:p>
          <w:p w14:paraId="338911B2" w14:textId="0EFE7C06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5.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S. Maciulyte, G.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Gutauskiene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J.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Niedritis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T. Kochane, S. Budriene. PVA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various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diisocyanates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based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urethane-urea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microcapsules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encapsulation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enzyme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water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/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butyl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acetate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emulsion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: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synthesis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study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2017. V. 28 (1). P. 74-84.</w:t>
            </w:r>
          </w:p>
          <w:p w14:paraId="2C78A438" w14:textId="5F70E184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6.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Straksys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T. Kochane, S. Budriene.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Catalytic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properties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α-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amylase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Bacillus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stearothermophilus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onto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microparticles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Food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chemistry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2016. V. 211. P. 294-299.</w:t>
            </w:r>
          </w:p>
          <w:p w14:paraId="2B40C7EB" w14:textId="1050C2C5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7.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S. Maciulyte, T. Kochane,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S. Budriene.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Microencapsulation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a-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amylase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–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shell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: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inverse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emulsion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method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J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Microencapsul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2015. V. 32. (6). P. 547-558.</w:t>
            </w:r>
          </w:p>
          <w:p w14:paraId="6F425876" w14:textId="638C6A47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8.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A. Strakšys, T. Kochanė, S. Budrienė.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Preparation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characterization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porous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urethane-urea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microparticles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vinyl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alcohol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isophorone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diisocyanate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2015. V. 26. (2). P. 132-140.</w:t>
            </w:r>
          </w:p>
          <w:p w14:paraId="5F489BC1" w14:textId="4292869D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9.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A. Strakšys, T. Kochanė, S. Budrienė.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Synthesis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characterization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urethane-urea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microparticles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vinyl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alcohol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binary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blends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diisocyanates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their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application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α-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amylase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2013. V. 24 (2). P. 160-169.</w:t>
            </w:r>
          </w:p>
          <w:p w14:paraId="7F8C22BC" w14:textId="2F2B6EC3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10.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M.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Sedlevicius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Budriene, A. Ramanavicius, N.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Ryskevic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Miasojedovas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Ramanaviciene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Assembly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Characterization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–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Gold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Nanoparticle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Conjugates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Macromol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Chem.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Phys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2011. V. 212. P. 2291−2299.</w:t>
            </w:r>
          </w:p>
          <w:p w14:paraId="3E1D8E84" w14:textId="1D2C2887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11.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E.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Viskantiene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Budriene,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Ramanaviciene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G.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Dienys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onto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microparticles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vinyl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alcohol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hexamethylene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diisocyanate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Journal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Molecular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Catalysis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B: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Enzymatic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2010. V. 64. P. 172–176.</w:t>
            </w:r>
          </w:p>
          <w:p w14:paraId="0EF1407D" w14:textId="52249487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12.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E.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Udrėnaitė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Romaškevič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Budrienė, O.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Sevostjanova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Preparation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chitosanalginate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complex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beads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their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use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2010. V. 21 (2-3). P. 145-152.</w:t>
            </w:r>
          </w:p>
          <w:p w14:paraId="5843A96A" w14:textId="20DA266F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13.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S. Budriene, 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K.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Pielichowski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J.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Pielichowski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Synthesis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characterization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microspheres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their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application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Polymers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Advanced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Technologies. 2007. V. 18 (1). P. 67-71.</w:t>
            </w:r>
          </w:p>
          <w:p w14:paraId="36C73594" w14:textId="46CC7FBD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14.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Romaškevič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Budrienė,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Liubertienė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I. Gerasimčik,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Zubrienė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G.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Dienys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Synthesis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chitosan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-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graft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-poly(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ethylene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glycol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)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methyl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ether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methacrylate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copolymer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its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application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maltogenase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2007. V. 18 (2). P. 33-38.</w:t>
            </w:r>
          </w:p>
          <w:p w14:paraId="135F4217" w14:textId="2E1EA241" w:rsidR="00796D08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15.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Romaškevič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S. Budrienė, K.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Pielichowski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J.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Pielichowski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Application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polyurethane-based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materials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for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enzymes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cells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: a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review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Chemija. 2006. V. 17 (4). P. 74-89.</w:t>
            </w:r>
          </w:p>
          <w:p w14:paraId="06F33D52" w14:textId="0043BECD" w:rsidR="00741EBE" w:rsidRPr="00796D08" w:rsidRDefault="00AA0D7D" w:rsidP="00796D08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16. 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S. Budriene, N.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Gorochovceva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T.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Romaskevic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L. V.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Yugova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Miezeliene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G.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Dienys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, A.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Zubriene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r w:rsidR="00796D08" w:rsidRPr="0010218C">
              <w:rPr>
                <w:rFonts w:ascii="Symbol" w:hAnsi="Symbol" w:cs="Arial"/>
                <w:sz w:val="24"/>
                <w:szCs w:val="24"/>
                <w:lang w:val="lt-LT"/>
              </w:rPr>
              <w:t></w:t>
            </w:r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-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Galactosidase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from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Penicilium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canescens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Properties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and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immobilization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Central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European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Journal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of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Chemistry</w:t>
            </w:r>
            <w:proofErr w:type="spellEnd"/>
            <w:r w:rsidR="00796D08" w:rsidRPr="00796D08">
              <w:rPr>
                <w:rFonts w:ascii="Arial" w:hAnsi="Arial" w:cs="Arial"/>
                <w:sz w:val="24"/>
                <w:szCs w:val="24"/>
                <w:lang w:val="lt-LT"/>
              </w:rPr>
              <w:t>. 2005. V. 3 (1). P. 95-105.</w:t>
            </w:r>
          </w:p>
        </w:tc>
      </w:tr>
      <w:tr w:rsidR="00741EBE" w:rsidRPr="0074206B" w14:paraId="60D3C764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63481ED5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Moksliniai straipsniai </w:t>
            </w:r>
            <w:r w:rsidRPr="0074206B">
              <w:rPr>
                <w:rFonts w:ascii="Arial" w:hAnsi="Arial" w:cs="Arial"/>
                <w:b/>
                <w:noProof/>
                <w:sz w:val="24"/>
                <w:szCs w:val="24"/>
                <w:lang w:val="lt-LT"/>
              </w:rPr>
              <w:t>kituose recenzuojamuose periodiniuose bei tęstiniuose tarptautiniuose, užsienio ir Lietuvos leidiniuose, tarp jų elektroniniuose</w:t>
            </w:r>
          </w:p>
        </w:tc>
      </w:tr>
      <w:tr w:rsidR="00741EBE" w:rsidRPr="0074206B" w14:paraId="6FA1DABB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0FE77688" w14:textId="7B2CB5C4" w:rsidR="00AA0D7D" w:rsidRPr="00AA0D7D" w:rsidRDefault="00AA0D7D" w:rsidP="00AA0D7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AA0D7D">
              <w:rPr>
                <w:rFonts w:ascii="Arial" w:hAnsi="Arial" w:cs="Arial"/>
              </w:rPr>
              <w:t>L. Pastarnokienė, T. Kochanė, A. Jankauskytė, R.</w:t>
            </w:r>
            <w:r w:rsidRPr="00AA0D7D">
              <w:rPr>
                <w:rFonts w:ascii="Arial" w:hAnsi="Arial" w:cs="Arial"/>
                <w:color w:val="000000"/>
              </w:rPr>
              <w:t> </w:t>
            </w:r>
            <w:r w:rsidRPr="00AA0D7D">
              <w:rPr>
                <w:rFonts w:ascii="Arial" w:hAnsi="Arial" w:cs="Arial"/>
              </w:rPr>
              <w:t>Makuška</w:t>
            </w:r>
            <w:r w:rsidRPr="00AA0D7D">
              <w:rPr>
                <w:rFonts w:ascii="Arial" w:hAnsi="Arial" w:cs="Arial"/>
                <w:color w:val="000000"/>
              </w:rPr>
              <w:t xml:space="preserve">. Synthesis of microcapsules containing </w:t>
            </w:r>
            <w:proofErr w:type="spellStart"/>
            <w:r w:rsidRPr="00AA0D7D">
              <w:rPr>
                <w:rFonts w:ascii="Arial" w:hAnsi="Arial" w:cs="Arial"/>
                <w:color w:val="000000"/>
              </w:rPr>
              <w:t>diisocyanate</w:t>
            </w:r>
            <w:proofErr w:type="spellEnd"/>
            <w:r w:rsidRPr="00AA0D7D">
              <w:rPr>
                <w:rFonts w:ascii="Arial" w:hAnsi="Arial" w:cs="Arial"/>
                <w:color w:val="000000"/>
              </w:rPr>
              <w:t xml:space="preserve"> as a healing agent // Chemistry and chemical technology: 16th international conference of Lithuanian Chemical Society, 24 September 2021, Vilnius, Lithuania: book of abstracts. Vilnius. </w:t>
            </w:r>
            <w:proofErr w:type="gramStart"/>
            <w:r w:rsidRPr="00AA0D7D">
              <w:rPr>
                <w:rFonts w:ascii="Arial" w:hAnsi="Arial" w:cs="Arial"/>
                <w:color w:val="000000"/>
              </w:rPr>
              <w:t>2021</w:t>
            </w:r>
            <w:proofErr w:type="gramEnd"/>
            <w:r w:rsidRPr="00AA0D7D">
              <w:rPr>
                <w:rFonts w:ascii="Arial" w:hAnsi="Arial" w:cs="Arial"/>
                <w:color w:val="000000"/>
              </w:rPr>
              <w:t>, p. 120.</w:t>
            </w:r>
          </w:p>
          <w:p w14:paraId="293A334C" w14:textId="2F1D3E30" w:rsidR="00AA0D7D" w:rsidRPr="00AA0D7D" w:rsidRDefault="00AA0D7D" w:rsidP="00AA0D7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AA0D7D">
              <w:rPr>
                <w:rFonts w:ascii="Arial" w:hAnsi="Arial" w:cs="Arial"/>
              </w:rPr>
              <w:t>L. Pastarnokienė, T. Kochanė, R. Makuška.</w:t>
            </w:r>
            <w:r w:rsidRPr="00AA0D7D">
              <w:rPr>
                <w:rFonts w:ascii="Arial" w:hAnsi="Arial" w:cs="Arial"/>
                <w:color w:val="000000"/>
              </w:rPr>
              <w:t xml:space="preserve"> Improvement of anti-abrasion properties of anti-corrosive epoxy coating for industrial application. // </w:t>
            </w:r>
            <w:proofErr w:type="gramStart"/>
            <w:r w:rsidRPr="00AA0D7D">
              <w:rPr>
                <w:rFonts w:ascii="Arial" w:hAnsi="Arial" w:cs="Arial"/>
                <w:color w:val="000000"/>
              </w:rPr>
              <w:t>Advanced</w:t>
            </w:r>
            <w:proofErr w:type="gramEnd"/>
            <w:r w:rsidRPr="00AA0D7D">
              <w:rPr>
                <w:rFonts w:ascii="Arial" w:hAnsi="Arial" w:cs="Arial"/>
                <w:color w:val="000000"/>
              </w:rPr>
              <w:t xml:space="preserve"> materials and technologies: book of abstracts of 23rd international conference-school, 23-27 August 2021, </w:t>
            </w:r>
            <w:proofErr w:type="spellStart"/>
            <w:r w:rsidRPr="00AA0D7D">
              <w:rPr>
                <w:rFonts w:ascii="Arial" w:hAnsi="Arial" w:cs="Arial"/>
                <w:color w:val="000000"/>
              </w:rPr>
              <w:t>Palanga</w:t>
            </w:r>
            <w:proofErr w:type="spellEnd"/>
            <w:r w:rsidRPr="00AA0D7D">
              <w:rPr>
                <w:rFonts w:ascii="Arial" w:hAnsi="Arial" w:cs="Arial"/>
                <w:color w:val="000000"/>
              </w:rPr>
              <w:t>, Lithuania.</w:t>
            </w:r>
            <w:r w:rsidRPr="00AA0D7D">
              <w:rPr>
                <w:rFonts w:ascii="Arial" w:hAnsi="Arial" w:cs="Arial"/>
              </w:rPr>
              <w:t xml:space="preserve"> </w:t>
            </w:r>
          </w:p>
          <w:p w14:paraId="17CCD5BD" w14:textId="69FCFB1B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T. Kochanė, L. Navickaitė, S. </w:t>
            </w:r>
            <w:proofErr w:type="spellStart"/>
            <w:r w:rsidRPr="002D1669">
              <w:rPr>
                <w:rFonts w:ascii="Arial" w:hAnsi="Arial" w:cs="Arial"/>
              </w:rPr>
              <w:t>Gailiūnaitė</w:t>
            </w:r>
            <w:proofErr w:type="spellEnd"/>
            <w:r w:rsidRPr="002D1669">
              <w:rPr>
                <w:rFonts w:ascii="Arial" w:hAnsi="Arial" w:cs="Arial"/>
              </w:rPr>
              <w:t xml:space="preserve">, E. </w:t>
            </w:r>
            <w:proofErr w:type="spellStart"/>
            <w:r w:rsidRPr="002D1669">
              <w:rPr>
                <w:rFonts w:ascii="Arial" w:hAnsi="Arial" w:cs="Arial"/>
              </w:rPr>
              <w:t>Balčiūnas</w:t>
            </w:r>
            <w:proofErr w:type="spellEnd"/>
            <w:r w:rsidRPr="002D1669">
              <w:rPr>
                <w:rFonts w:ascii="Arial" w:hAnsi="Arial" w:cs="Arial"/>
              </w:rPr>
              <w:t xml:space="preserve">, V. </w:t>
            </w:r>
            <w:proofErr w:type="spellStart"/>
            <w:r w:rsidRPr="002D1669">
              <w:rPr>
                <w:rFonts w:ascii="Arial" w:hAnsi="Arial" w:cs="Arial"/>
              </w:rPr>
              <w:t>Bukelskienė</w:t>
            </w:r>
            <w:proofErr w:type="spellEnd"/>
            <w:r w:rsidRPr="002D1669">
              <w:rPr>
                <w:rFonts w:ascii="Arial" w:hAnsi="Arial" w:cs="Arial"/>
              </w:rPr>
              <w:t xml:space="preserve">, D. Baltriukienė, S. Budrienė. Biocompatible films from </w:t>
            </w:r>
            <w:proofErr w:type="spellStart"/>
            <w:r w:rsidRPr="002D1669">
              <w:rPr>
                <w:rFonts w:ascii="Arial" w:hAnsi="Arial" w:cs="Arial"/>
              </w:rPr>
              <w:t>vinylpyrrolidone</w:t>
            </w:r>
            <w:proofErr w:type="spellEnd"/>
            <w:r w:rsidRPr="002D1669">
              <w:rPr>
                <w:rFonts w:ascii="Arial" w:hAnsi="Arial" w:cs="Arial"/>
              </w:rPr>
              <w:t xml:space="preserve">, hydroxyethyl methacrylate and 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gramEnd"/>
            <w:r w:rsidRPr="002D1669">
              <w:rPr>
                <w:rFonts w:ascii="Arial" w:hAnsi="Arial" w:cs="Arial"/>
              </w:rPr>
              <w:t>dimethyl siloxane) copolymer for tissue engineering, Chemistry and chemical technology: Lithuanian chemists conference, 2019 May 16, Lithuanian Academy of Sciences, Vilnius: conference book, 2019.</w:t>
            </w:r>
          </w:p>
          <w:p w14:paraId="28306258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S. </w:t>
            </w:r>
            <w:proofErr w:type="spellStart"/>
            <w:r w:rsidRPr="002D1669">
              <w:rPr>
                <w:rFonts w:ascii="Arial" w:hAnsi="Arial" w:cs="Arial"/>
              </w:rPr>
              <w:t>Gailiūnaitė</w:t>
            </w:r>
            <w:proofErr w:type="spellEnd"/>
            <w:r w:rsidRPr="002D1669">
              <w:rPr>
                <w:rFonts w:ascii="Arial" w:hAnsi="Arial" w:cs="Arial"/>
              </w:rPr>
              <w:t xml:space="preserve">, L. Navickaitė, T. Kochanė, S. Budrienė. UV-cured films </w:t>
            </w:r>
            <w:proofErr w:type="spellStart"/>
            <w:r w:rsidRPr="002D1669">
              <w:rPr>
                <w:rFonts w:ascii="Arial" w:hAnsi="Arial" w:cs="Arial"/>
              </w:rPr>
              <w:t>froma</w:t>
            </w:r>
            <w:proofErr w:type="spellEnd"/>
            <w:r w:rsidRPr="002D1669">
              <w:rPr>
                <w:rFonts w:ascii="Arial" w:hAnsi="Arial" w:cs="Arial"/>
              </w:rPr>
              <w:t xml:space="preserve"> polyesters modified with </w:t>
            </w:r>
            <w:r w:rsidRPr="002D1669">
              <w:rPr>
                <w:rFonts w:ascii="Symbol" w:hAnsi="Symbol" w:cs="Arial"/>
              </w:rPr>
              <w:t></w:t>
            </w:r>
            <w:r w:rsidRPr="002D1669">
              <w:rPr>
                <w:rFonts w:ascii="Symbol" w:hAnsi="Symbol" w:cs="Arial"/>
              </w:rPr>
              <w:t></w:t>
            </w:r>
            <w:r w:rsidRPr="002D1669">
              <w:rPr>
                <w:rFonts w:ascii="Symbol" w:hAnsi="Symbol" w:cs="Arial"/>
              </w:rPr>
              <w:t></w:t>
            </w:r>
            <w:r w:rsidRPr="002D1669">
              <w:rPr>
                <w:rFonts w:ascii="Arial" w:hAnsi="Arial" w:cs="Arial"/>
              </w:rPr>
              <w:t>-</w:t>
            </w:r>
            <w:proofErr w:type="spellStart"/>
            <w:r w:rsidRPr="002D1669">
              <w:rPr>
                <w:rFonts w:ascii="Arial" w:hAnsi="Arial" w:cs="Arial"/>
              </w:rPr>
              <w:t>dihydroxy</w:t>
            </w:r>
            <w:proofErr w:type="spellEnd"/>
            <w:r w:rsidRPr="002D1669">
              <w:rPr>
                <w:rFonts w:ascii="Arial" w:hAnsi="Arial" w:cs="Arial"/>
              </w:rPr>
              <w:t>-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spellStart"/>
            <w:proofErr w:type="gramEnd"/>
            <w:r w:rsidRPr="002D1669">
              <w:rPr>
                <w:rFonts w:ascii="Arial" w:hAnsi="Arial" w:cs="Arial"/>
              </w:rPr>
              <w:t>dimethylsiloxane</w:t>
            </w:r>
            <w:proofErr w:type="spellEnd"/>
            <w:r w:rsidRPr="002D1669">
              <w:rPr>
                <w:rFonts w:ascii="Arial" w:hAnsi="Arial" w:cs="Arial"/>
              </w:rPr>
              <w:t xml:space="preserve">). Chemistry and chemical </w:t>
            </w:r>
            <w:proofErr w:type="spellStart"/>
            <w:r w:rsidRPr="002D1669">
              <w:rPr>
                <w:rFonts w:ascii="Arial" w:hAnsi="Arial" w:cs="Arial"/>
              </w:rPr>
              <w:t>tecchnology</w:t>
            </w:r>
            <w:proofErr w:type="spellEnd"/>
            <w:r w:rsidRPr="002D1669">
              <w:rPr>
                <w:rFonts w:ascii="Arial" w:hAnsi="Arial" w:cs="Arial"/>
              </w:rPr>
              <w:t xml:space="preserve">: Lithuanian </w:t>
            </w:r>
            <w:proofErr w:type="gramStart"/>
            <w:r w:rsidRPr="002D1669">
              <w:rPr>
                <w:rFonts w:ascii="Arial" w:hAnsi="Arial" w:cs="Arial"/>
              </w:rPr>
              <w:t>chemists</w:t>
            </w:r>
            <w:proofErr w:type="gramEnd"/>
            <w:r w:rsidRPr="002D1669">
              <w:rPr>
                <w:rFonts w:ascii="Arial" w:hAnsi="Arial" w:cs="Arial"/>
              </w:rPr>
              <w:t xml:space="preserve"> conference, 2019 May 16, Lithuanian Academy of Sciences, Vilnius: conference book, 2019.</w:t>
            </w:r>
          </w:p>
          <w:p w14:paraId="633983A9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S. Budrienė, T. Kochanė, A. </w:t>
            </w:r>
            <w:proofErr w:type="spellStart"/>
            <w:r w:rsidRPr="002D1669">
              <w:rPr>
                <w:rFonts w:ascii="Arial" w:hAnsi="Arial" w:cs="Arial"/>
              </w:rPr>
              <w:t>Poškutė</w:t>
            </w:r>
            <w:proofErr w:type="spellEnd"/>
            <w:r w:rsidRPr="002D1669">
              <w:rPr>
                <w:rFonts w:ascii="Arial" w:hAnsi="Arial" w:cs="Arial"/>
              </w:rPr>
              <w:t xml:space="preserve">, S. </w:t>
            </w:r>
            <w:proofErr w:type="spellStart"/>
            <w:r w:rsidRPr="002D1669">
              <w:rPr>
                <w:rFonts w:ascii="Arial" w:hAnsi="Arial" w:cs="Arial"/>
              </w:rPr>
              <w:t>Gailūnaitė</w:t>
            </w:r>
            <w:proofErr w:type="spellEnd"/>
            <w:r w:rsidRPr="002D1669">
              <w:rPr>
                <w:rFonts w:ascii="Arial" w:hAnsi="Arial" w:cs="Arial"/>
              </w:rPr>
              <w:t xml:space="preserve">, Ž. </w:t>
            </w:r>
            <w:proofErr w:type="spellStart"/>
            <w:r w:rsidRPr="002D1669">
              <w:rPr>
                <w:rFonts w:ascii="Arial" w:hAnsi="Arial" w:cs="Arial"/>
              </w:rPr>
              <w:t>Drabavičius</w:t>
            </w:r>
            <w:proofErr w:type="spellEnd"/>
            <w:r w:rsidRPr="002D1669">
              <w:rPr>
                <w:rFonts w:ascii="Arial" w:hAnsi="Arial" w:cs="Arial"/>
              </w:rPr>
              <w:t xml:space="preserve">, S. </w:t>
            </w:r>
            <w:proofErr w:type="spellStart"/>
            <w:r w:rsidRPr="002D1669">
              <w:rPr>
                <w:rFonts w:ascii="Arial" w:hAnsi="Arial" w:cs="Arial"/>
              </w:rPr>
              <w:t>Mačiulytė</w:t>
            </w:r>
            <w:proofErr w:type="spellEnd"/>
            <w:r w:rsidRPr="002D1669">
              <w:rPr>
                <w:rFonts w:ascii="Arial" w:hAnsi="Arial" w:cs="Arial"/>
              </w:rPr>
              <w:t xml:space="preserve">, E. </w:t>
            </w:r>
            <w:proofErr w:type="spellStart"/>
            <w:r w:rsidRPr="002D1669">
              <w:rPr>
                <w:rFonts w:ascii="Arial" w:hAnsi="Arial" w:cs="Arial"/>
              </w:rPr>
              <w:t>Balčiūnas</w:t>
            </w:r>
            <w:proofErr w:type="spellEnd"/>
            <w:r w:rsidRPr="002D1669">
              <w:rPr>
                <w:rFonts w:ascii="Arial" w:hAnsi="Arial" w:cs="Arial"/>
              </w:rPr>
              <w:t xml:space="preserve">, V. </w:t>
            </w:r>
            <w:proofErr w:type="spellStart"/>
            <w:r w:rsidRPr="002D1669">
              <w:rPr>
                <w:rFonts w:ascii="Arial" w:hAnsi="Arial" w:cs="Arial"/>
              </w:rPr>
              <w:t>Bukelskienė</w:t>
            </w:r>
            <w:proofErr w:type="spellEnd"/>
            <w:r w:rsidRPr="002D1669">
              <w:rPr>
                <w:rFonts w:ascii="Arial" w:hAnsi="Arial" w:cs="Arial"/>
              </w:rPr>
              <w:t>, D. B</w:t>
            </w:r>
            <w:r>
              <w:rPr>
                <w:rFonts w:ascii="Arial" w:hAnsi="Arial" w:cs="Arial"/>
              </w:rPr>
              <w:t>a</w:t>
            </w:r>
            <w:r w:rsidRPr="002D1669">
              <w:rPr>
                <w:rFonts w:ascii="Arial" w:hAnsi="Arial" w:cs="Arial"/>
              </w:rPr>
              <w:t>ltriukienė. Synthesis and investigation of biocompatible films from hydrophilic copolymers with vinyl-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spellStart"/>
            <w:proofErr w:type="gramEnd"/>
            <w:r w:rsidRPr="002D1669">
              <w:rPr>
                <w:rFonts w:ascii="Arial" w:hAnsi="Arial" w:cs="Arial"/>
              </w:rPr>
              <w:t>dimethylsiloxane</w:t>
            </w:r>
            <w:proofErr w:type="spellEnd"/>
            <w:r w:rsidRPr="002D1669">
              <w:rPr>
                <w:rFonts w:ascii="Arial" w:hAnsi="Arial" w:cs="Arial"/>
              </w:rPr>
              <w:t>) units. European Polymer C</w:t>
            </w:r>
            <w:r>
              <w:rPr>
                <w:rFonts w:ascii="Arial" w:hAnsi="Arial" w:cs="Arial"/>
              </w:rPr>
              <w:t>o</w:t>
            </w:r>
            <w:r w:rsidRPr="002D1669">
              <w:rPr>
                <w:rFonts w:ascii="Arial" w:hAnsi="Arial" w:cs="Arial"/>
              </w:rPr>
              <w:t xml:space="preserve">ngress </w:t>
            </w:r>
            <w:r>
              <w:rPr>
                <w:rFonts w:ascii="Arial" w:hAnsi="Arial" w:cs="Arial"/>
              </w:rPr>
              <w:t>2019</w:t>
            </w:r>
            <w:r w:rsidRPr="002D1669">
              <w:rPr>
                <w:rFonts w:ascii="Arial" w:hAnsi="Arial" w:cs="Arial"/>
              </w:rPr>
              <w:t>, Grete 9-</w:t>
            </w:r>
            <w:r>
              <w:rPr>
                <w:rFonts w:ascii="Arial" w:hAnsi="Arial" w:cs="Arial"/>
              </w:rPr>
              <w:t>14</w:t>
            </w:r>
            <w:r w:rsidRPr="002D1669">
              <w:rPr>
                <w:rFonts w:ascii="Arial" w:hAnsi="Arial" w:cs="Arial"/>
              </w:rPr>
              <w:t xml:space="preserve"> June. EPF 2019 Abstract Book. BIO-P006.</w:t>
            </w:r>
          </w:p>
          <w:p w14:paraId="307CE55A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S. </w:t>
            </w:r>
            <w:proofErr w:type="spellStart"/>
            <w:r w:rsidRPr="002D1669">
              <w:rPr>
                <w:rFonts w:ascii="Arial" w:hAnsi="Arial" w:cs="Arial"/>
              </w:rPr>
              <w:t>Gailiūnaitė</w:t>
            </w:r>
            <w:proofErr w:type="spellEnd"/>
            <w:r w:rsidRPr="002D1669">
              <w:rPr>
                <w:rFonts w:ascii="Arial" w:hAnsi="Arial" w:cs="Arial"/>
              </w:rPr>
              <w:t xml:space="preserve">, S. Budrienė, T. Kochanė, V. </w:t>
            </w:r>
            <w:proofErr w:type="spellStart"/>
            <w:r w:rsidRPr="002D1669">
              <w:rPr>
                <w:rFonts w:ascii="Arial" w:hAnsi="Arial" w:cs="Arial"/>
              </w:rPr>
              <w:t>Bukelskie</w:t>
            </w:r>
            <w:r>
              <w:rPr>
                <w:rFonts w:ascii="Arial" w:hAnsi="Arial" w:cs="Arial"/>
              </w:rPr>
              <w:t>n</w:t>
            </w:r>
            <w:r w:rsidRPr="002D1669">
              <w:rPr>
                <w:rFonts w:ascii="Arial" w:hAnsi="Arial" w:cs="Arial"/>
              </w:rPr>
              <w:t>ė</w:t>
            </w:r>
            <w:proofErr w:type="spellEnd"/>
            <w:r w:rsidRPr="002D1669">
              <w:rPr>
                <w:rFonts w:ascii="Arial" w:hAnsi="Arial" w:cs="Arial"/>
              </w:rPr>
              <w:t xml:space="preserve">, D. Baltriukienė. Preparation and characterization of </w:t>
            </w:r>
            <w:r w:rsidRPr="002D1669">
              <w:rPr>
                <w:rFonts w:ascii="Symbol" w:hAnsi="Symbol" w:cs="Arial"/>
              </w:rPr>
              <w:t></w:t>
            </w:r>
            <w:r w:rsidRPr="002D1669">
              <w:rPr>
                <w:rFonts w:ascii="Symbol" w:hAnsi="Symbol" w:cs="Arial"/>
              </w:rPr>
              <w:t></w:t>
            </w:r>
            <w:r w:rsidRPr="002D1669">
              <w:rPr>
                <w:rFonts w:ascii="Symbol" w:hAnsi="Symbol" w:cs="Arial"/>
              </w:rPr>
              <w:t></w:t>
            </w:r>
            <w:r w:rsidRPr="002D1669">
              <w:rPr>
                <w:rFonts w:ascii="Arial" w:hAnsi="Arial" w:cs="Arial"/>
              </w:rPr>
              <w:t>-</w:t>
            </w:r>
            <w:proofErr w:type="spellStart"/>
            <w:r w:rsidRPr="002D1669">
              <w:rPr>
                <w:rFonts w:ascii="Arial" w:hAnsi="Arial" w:cs="Arial"/>
              </w:rPr>
              <w:t>dihydroxy</w:t>
            </w:r>
            <w:proofErr w:type="spellEnd"/>
            <w:r w:rsidRPr="002D1669">
              <w:rPr>
                <w:rFonts w:ascii="Arial" w:hAnsi="Arial" w:cs="Arial"/>
              </w:rPr>
              <w:t>-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spellStart"/>
            <w:proofErr w:type="gramEnd"/>
            <w:r w:rsidRPr="002D1669">
              <w:rPr>
                <w:rFonts w:ascii="Arial" w:hAnsi="Arial" w:cs="Arial"/>
              </w:rPr>
              <w:t>dimethylsiloxane</w:t>
            </w:r>
            <w:proofErr w:type="spellEnd"/>
            <w:r w:rsidRPr="002D1669">
              <w:rPr>
                <w:rFonts w:ascii="Arial" w:hAnsi="Arial" w:cs="Arial"/>
              </w:rPr>
              <w:t>) modified polyesters for tissue engineering. Baltic Polymer Symposium, Vilnius, Lithuania, September 18-20, 2019.</w:t>
            </w:r>
          </w:p>
          <w:p w14:paraId="42778A4F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S. </w:t>
            </w:r>
            <w:proofErr w:type="spellStart"/>
            <w:r w:rsidRPr="002D1669">
              <w:rPr>
                <w:rFonts w:ascii="Arial" w:hAnsi="Arial" w:cs="Arial"/>
              </w:rPr>
              <w:t>Mačiulytė</w:t>
            </w:r>
            <w:proofErr w:type="spellEnd"/>
            <w:r w:rsidRPr="002D1669">
              <w:rPr>
                <w:rFonts w:ascii="Arial" w:hAnsi="Arial" w:cs="Arial"/>
              </w:rPr>
              <w:t xml:space="preserve">, G. </w:t>
            </w:r>
            <w:proofErr w:type="spellStart"/>
            <w:r w:rsidRPr="002D1669">
              <w:rPr>
                <w:rFonts w:ascii="Arial" w:hAnsi="Arial" w:cs="Arial"/>
              </w:rPr>
              <w:t>Gutauskienė</w:t>
            </w:r>
            <w:proofErr w:type="spellEnd"/>
            <w:r w:rsidRPr="002D1669">
              <w:rPr>
                <w:rFonts w:ascii="Arial" w:hAnsi="Arial" w:cs="Arial"/>
              </w:rPr>
              <w:t xml:space="preserve">, J. </w:t>
            </w:r>
            <w:proofErr w:type="spellStart"/>
            <w:r w:rsidRPr="002D1669">
              <w:rPr>
                <w:rFonts w:ascii="Arial" w:hAnsi="Arial" w:cs="Arial"/>
              </w:rPr>
              <w:t>Niedritis</w:t>
            </w:r>
            <w:proofErr w:type="spellEnd"/>
            <w:r w:rsidRPr="002D1669">
              <w:rPr>
                <w:rFonts w:ascii="Arial" w:hAnsi="Arial" w:cs="Arial"/>
              </w:rPr>
              <w:t xml:space="preserve">, S. Budrienė, T. Kochanė, Preparation and characterization of 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gramEnd"/>
            <w:r w:rsidRPr="002D1669">
              <w:rPr>
                <w:rFonts w:ascii="Arial" w:hAnsi="Arial" w:cs="Arial"/>
              </w:rPr>
              <w:t>urethane-urea) micr</w:t>
            </w:r>
            <w:r>
              <w:rPr>
                <w:rFonts w:ascii="Arial" w:hAnsi="Arial" w:cs="Arial"/>
              </w:rPr>
              <w:t>o</w:t>
            </w:r>
            <w:r w:rsidRPr="002D1669">
              <w:rPr>
                <w:rFonts w:ascii="Arial" w:hAnsi="Arial" w:cs="Arial"/>
              </w:rPr>
              <w:t xml:space="preserve">capsules with different </w:t>
            </w:r>
            <w:proofErr w:type="spellStart"/>
            <w:r w:rsidRPr="002D1669">
              <w:rPr>
                <w:rFonts w:ascii="Arial" w:hAnsi="Arial" w:cs="Arial"/>
              </w:rPr>
              <w:t>diisocyanates</w:t>
            </w:r>
            <w:proofErr w:type="spellEnd"/>
            <w:r w:rsidRPr="002D1669">
              <w:rPr>
                <w:rFonts w:ascii="Arial" w:hAnsi="Arial" w:cs="Arial"/>
              </w:rPr>
              <w:t xml:space="preserve"> and poly(vinyl alcohol). Baltic Polymer Symposium, 2018, </w:t>
            </w:r>
            <w:proofErr w:type="spellStart"/>
            <w:r w:rsidRPr="002D1669">
              <w:rPr>
                <w:rFonts w:ascii="Arial" w:hAnsi="Arial" w:cs="Arial"/>
              </w:rPr>
              <w:t>Jurmala</w:t>
            </w:r>
            <w:proofErr w:type="spellEnd"/>
            <w:r w:rsidRPr="002D1669">
              <w:rPr>
                <w:rFonts w:ascii="Arial" w:hAnsi="Arial" w:cs="Arial"/>
              </w:rPr>
              <w:t xml:space="preserve">, Latvia, September </w:t>
            </w:r>
            <w:r>
              <w:rPr>
                <w:rFonts w:ascii="Arial" w:hAnsi="Arial" w:cs="Arial"/>
              </w:rPr>
              <w:t>12</w:t>
            </w:r>
            <w:r w:rsidRPr="002D16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14</w:t>
            </w:r>
            <w:proofErr w:type="gramStart"/>
            <w:r w:rsidRPr="002D1669">
              <w:rPr>
                <w:rFonts w:ascii="Arial" w:hAnsi="Arial" w:cs="Arial"/>
              </w:rPr>
              <w:t>:programme</w:t>
            </w:r>
            <w:proofErr w:type="gramEnd"/>
            <w:r w:rsidRPr="002D1669">
              <w:rPr>
                <w:rFonts w:ascii="Arial" w:hAnsi="Arial" w:cs="Arial"/>
              </w:rPr>
              <w:t xml:space="preserve"> and proceedings.</w:t>
            </w:r>
          </w:p>
          <w:p w14:paraId="7F01BFA7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T. Kochanė, S. </w:t>
            </w:r>
            <w:proofErr w:type="spellStart"/>
            <w:r w:rsidRPr="002D1669">
              <w:rPr>
                <w:rFonts w:ascii="Arial" w:hAnsi="Arial" w:cs="Arial"/>
              </w:rPr>
              <w:t>Mačiulytė</w:t>
            </w:r>
            <w:proofErr w:type="spellEnd"/>
            <w:r w:rsidRPr="002D1669">
              <w:rPr>
                <w:rFonts w:ascii="Arial" w:hAnsi="Arial" w:cs="Arial"/>
              </w:rPr>
              <w:t xml:space="preserve">, A. </w:t>
            </w:r>
            <w:proofErr w:type="spellStart"/>
            <w:r w:rsidRPr="002D1669">
              <w:rPr>
                <w:rFonts w:ascii="Arial" w:hAnsi="Arial" w:cs="Arial"/>
              </w:rPr>
              <w:t>Gumbakytė</w:t>
            </w:r>
            <w:proofErr w:type="spellEnd"/>
            <w:r w:rsidRPr="002D1669">
              <w:rPr>
                <w:rFonts w:ascii="Arial" w:hAnsi="Arial" w:cs="Arial"/>
              </w:rPr>
              <w:t xml:space="preserve">, N. </w:t>
            </w:r>
            <w:proofErr w:type="spellStart"/>
            <w:r w:rsidRPr="002D1669">
              <w:rPr>
                <w:rFonts w:ascii="Arial" w:hAnsi="Arial" w:cs="Arial"/>
              </w:rPr>
              <w:t>Žurauskaitė</w:t>
            </w:r>
            <w:proofErr w:type="spellEnd"/>
            <w:r w:rsidRPr="002D1669">
              <w:rPr>
                <w:rFonts w:ascii="Arial" w:hAnsi="Arial" w:cs="Arial"/>
              </w:rPr>
              <w:t xml:space="preserve">, S. Budrienė. Preparation of biocompatible UV cured films from AA-HEMA-PDMS copolymers. Baltic Polymer Symposium, 2018, </w:t>
            </w:r>
            <w:proofErr w:type="spellStart"/>
            <w:r w:rsidRPr="002D1669">
              <w:rPr>
                <w:rFonts w:ascii="Arial" w:hAnsi="Arial" w:cs="Arial"/>
              </w:rPr>
              <w:t>Jurmala</w:t>
            </w:r>
            <w:proofErr w:type="spellEnd"/>
            <w:r w:rsidRPr="002D1669">
              <w:rPr>
                <w:rFonts w:ascii="Arial" w:hAnsi="Arial" w:cs="Arial"/>
              </w:rPr>
              <w:t xml:space="preserve">, Latvia, September </w:t>
            </w:r>
            <w:r>
              <w:rPr>
                <w:rFonts w:ascii="Arial" w:hAnsi="Arial" w:cs="Arial"/>
              </w:rPr>
              <w:t>12</w:t>
            </w:r>
            <w:r w:rsidRPr="002D16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14</w:t>
            </w:r>
            <w:proofErr w:type="gramStart"/>
            <w:r w:rsidRPr="002D1669">
              <w:rPr>
                <w:rFonts w:ascii="Arial" w:hAnsi="Arial" w:cs="Arial"/>
              </w:rPr>
              <w:t>:programme</w:t>
            </w:r>
            <w:proofErr w:type="gramEnd"/>
            <w:r w:rsidRPr="002D1669">
              <w:rPr>
                <w:rFonts w:ascii="Arial" w:hAnsi="Arial" w:cs="Arial"/>
              </w:rPr>
              <w:t xml:space="preserve"> and proceedings.</w:t>
            </w:r>
          </w:p>
          <w:p w14:paraId="01226A66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E. </w:t>
            </w:r>
            <w:proofErr w:type="spellStart"/>
            <w:r w:rsidRPr="002D1669">
              <w:rPr>
                <w:rFonts w:ascii="Arial" w:hAnsi="Arial" w:cs="Arial"/>
              </w:rPr>
              <w:t>Balčiūnas</w:t>
            </w:r>
            <w:proofErr w:type="spellEnd"/>
            <w:r w:rsidRPr="002D1669">
              <w:rPr>
                <w:rFonts w:ascii="Arial" w:hAnsi="Arial" w:cs="Arial"/>
              </w:rPr>
              <w:t xml:space="preserve">, T. Kochanė, S. Budrienė, V. </w:t>
            </w:r>
            <w:proofErr w:type="spellStart"/>
            <w:r w:rsidRPr="002D1669">
              <w:rPr>
                <w:rFonts w:ascii="Arial" w:hAnsi="Arial" w:cs="Arial"/>
              </w:rPr>
              <w:t>Bukelskienė</w:t>
            </w:r>
            <w:proofErr w:type="spellEnd"/>
            <w:r w:rsidRPr="002D1669">
              <w:rPr>
                <w:rFonts w:ascii="Arial" w:hAnsi="Arial" w:cs="Arial"/>
              </w:rPr>
              <w:t xml:space="preserve">, D. Baltriukienė. PDMS-based block copolymer biocompatibility testing for tissue engineering applications. Laboratory Animals in Research, Vilnius (Lithuania), 2016: </w:t>
            </w:r>
            <w:proofErr w:type="spellStart"/>
            <w:r w:rsidRPr="002D1669">
              <w:rPr>
                <w:rFonts w:ascii="Arial" w:hAnsi="Arial" w:cs="Arial"/>
              </w:rPr>
              <w:t>programme</w:t>
            </w:r>
            <w:proofErr w:type="spellEnd"/>
            <w:r w:rsidRPr="002D1669">
              <w:rPr>
                <w:rFonts w:ascii="Arial" w:hAnsi="Arial" w:cs="Arial"/>
              </w:rPr>
              <w:t xml:space="preserve"> and abstracts. Kaunas University of Technology, Vilnius University, </w:t>
            </w:r>
            <w:proofErr w:type="spellStart"/>
            <w:r w:rsidRPr="002D1669">
              <w:rPr>
                <w:rFonts w:ascii="Arial" w:hAnsi="Arial" w:cs="Arial"/>
              </w:rPr>
              <w:t>Klaipėda</w:t>
            </w:r>
            <w:proofErr w:type="spellEnd"/>
            <w:r w:rsidRPr="002D1669">
              <w:rPr>
                <w:rFonts w:ascii="Arial" w:hAnsi="Arial" w:cs="Arial"/>
              </w:rPr>
              <w:t>.</w:t>
            </w:r>
          </w:p>
          <w:p w14:paraId="205880EE" w14:textId="77777777" w:rsidR="00796D08" w:rsidRPr="002D1669" w:rsidRDefault="00796D08" w:rsidP="00796D0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D1669">
              <w:rPr>
                <w:rFonts w:ascii="Arial" w:hAnsi="Arial" w:cs="Arial"/>
              </w:rPr>
              <w:t xml:space="preserve">T. Kochanė, S. </w:t>
            </w:r>
            <w:proofErr w:type="spellStart"/>
            <w:r w:rsidRPr="002D1669">
              <w:rPr>
                <w:rFonts w:ascii="Arial" w:hAnsi="Arial" w:cs="Arial"/>
              </w:rPr>
              <w:t>Mačiulytė</w:t>
            </w:r>
            <w:proofErr w:type="spellEnd"/>
            <w:r w:rsidRPr="002D1669">
              <w:rPr>
                <w:rFonts w:ascii="Arial" w:hAnsi="Arial" w:cs="Arial"/>
              </w:rPr>
              <w:t xml:space="preserve">, A. </w:t>
            </w:r>
            <w:proofErr w:type="spellStart"/>
            <w:r w:rsidRPr="002D1669">
              <w:rPr>
                <w:rFonts w:ascii="Arial" w:hAnsi="Arial" w:cs="Arial"/>
              </w:rPr>
              <w:t>Strakšys</w:t>
            </w:r>
            <w:proofErr w:type="spellEnd"/>
            <w:r w:rsidRPr="002D1669">
              <w:rPr>
                <w:rFonts w:ascii="Arial" w:hAnsi="Arial" w:cs="Arial"/>
              </w:rPr>
              <w:t xml:space="preserve">, E. </w:t>
            </w:r>
            <w:proofErr w:type="spellStart"/>
            <w:r w:rsidRPr="002D1669">
              <w:rPr>
                <w:rFonts w:ascii="Arial" w:hAnsi="Arial" w:cs="Arial"/>
              </w:rPr>
              <w:t>Vogonytė</w:t>
            </w:r>
            <w:proofErr w:type="spellEnd"/>
            <w:r w:rsidRPr="002D1669">
              <w:rPr>
                <w:rFonts w:ascii="Arial" w:hAnsi="Arial" w:cs="Arial"/>
              </w:rPr>
              <w:t>, S. Budrienė. Porous m</w:t>
            </w:r>
            <w:r>
              <w:rPr>
                <w:rFonts w:ascii="Arial" w:hAnsi="Arial" w:cs="Arial"/>
              </w:rPr>
              <w:t>o</w:t>
            </w:r>
            <w:r w:rsidRPr="002D1669">
              <w:rPr>
                <w:rFonts w:ascii="Arial" w:hAnsi="Arial" w:cs="Arial"/>
              </w:rPr>
              <w:t xml:space="preserve">dified </w:t>
            </w:r>
            <w:proofErr w:type="gramStart"/>
            <w:r w:rsidRPr="002D1669">
              <w:rPr>
                <w:rFonts w:ascii="Arial" w:hAnsi="Arial" w:cs="Arial"/>
              </w:rPr>
              <w:t>poly(</w:t>
            </w:r>
            <w:proofErr w:type="gramEnd"/>
            <w:r w:rsidRPr="002D1669">
              <w:rPr>
                <w:rFonts w:ascii="Arial" w:hAnsi="Arial" w:cs="Arial"/>
              </w:rPr>
              <w:t xml:space="preserve">urethane-urea) </w:t>
            </w:r>
            <w:proofErr w:type="spellStart"/>
            <w:r w:rsidRPr="002D1669">
              <w:rPr>
                <w:rFonts w:ascii="Arial" w:hAnsi="Arial" w:cs="Arial"/>
              </w:rPr>
              <w:t>microparticles</w:t>
            </w:r>
            <w:proofErr w:type="spellEnd"/>
            <w:r w:rsidRPr="002D1669">
              <w:rPr>
                <w:rFonts w:ascii="Arial" w:hAnsi="Arial" w:cs="Arial"/>
              </w:rPr>
              <w:t xml:space="preserve"> as a carriers for </w:t>
            </w:r>
            <w:proofErr w:type="spellStart"/>
            <w:r w:rsidRPr="002D1669">
              <w:rPr>
                <w:rFonts w:ascii="Arial" w:hAnsi="Arial" w:cs="Arial"/>
              </w:rPr>
              <w:t>maltogenase</w:t>
            </w:r>
            <w:proofErr w:type="spellEnd"/>
            <w:r w:rsidRPr="002D1669">
              <w:rPr>
                <w:rFonts w:ascii="Arial" w:hAnsi="Arial" w:cs="Arial"/>
              </w:rPr>
              <w:t xml:space="preserve"> immobilization. Baltic Polymer Symposium, 2016, </w:t>
            </w:r>
            <w:proofErr w:type="spellStart"/>
            <w:r w:rsidRPr="002D1669">
              <w:rPr>
                <w:rFonts w:ascii="Arial" w:hAnsi="Arial" w:cs="Arial"/>
              </w:rPr>
              <w:t>Klaipėda</w:t>
            </w:r>
            <w:proofErr w:type="spellEnd"/>
            <w:r w:rsidRPr="002D1669">
              <w:rPr>
                <w:rFonts w:ascii="Arial" w:hAnsi="Arial" w:cs="Arial"/>
              </w:rPr>
              <w:t>, September 21-24</w:t>
            </w:r>
            <w:proofErr w:type="gramStart"/>
            <w:r w:rsidRPr="002D1669">
              <w:rPr>
                <w:rFonts w:ascii="Arial" w:hAnsi="Arial" w:cs="Arial"/>
              </w:rPr>
              <w:t>:programme</w:t>
            </w:r>
            <w:proofErr w:type="gramEnd"/>
            <w:r w:rsidRPr="002D1669">
              <w:rPr>
                <w:rFonts w:ascii="Arial" w:hAnsi="Arial" w:cs="Arial"/>
              </w:rPr>
              <w:t xml:space="preserve"> and abstracts.</w:t>
            </w:r>
          </w:p>
          <w:p w14:paraId="37952464" w14:textId="2F21B292" w:rsidR="00741EBE" w:rsidRPr="0074206B" w:rsidRDefault="00796D08" w:rsidP="0010218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134" w:hanging="283"/>
              <w:jc w:val="both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2D1669">
              <w:rPr>
                <w:rFonts w:ascii="Arial" w:hAnsi="Arial" w:cs="Arial"/>
              </w:rPr>
              <w:t xml:space="preserve">S. </w:t>
            </w:r>
            <w:proofErr w:type="spellStart"/>
            <w:r w:rsidRPr="002D1669">
              <w:rPr>
                <w:rFonts w:ascii="Arial" w:hAnsi="Arial" w:cs="Arial"/>
              </w:rPr>
              <w:t>Mačiulytė</w:t>
            </w:r>
            <w:proofErr w:type="spellEnd"/>
            <w:r w:rsidRPr="002D1669">
              <w:rPr>
                <w:rFonts w:ascii="Arial" w:hAnsi="Arial" w:cs="Arial"/>
              </w:rPr>
              <w:t xml:space="preserve">, I. </w:t>
            </w:r>
            <w:proofErr w:type="spellStart"/>
            <w:r w:rsidRPr="002D1669">
              <w:rPr>
                <w:rFonts w:ascii="Arial" w:hAnsi="Arial" w:cs="Arial"/>
              </w:rPr>
              <w:t>Viliūnaitė</w:t>
            </w:r>
            <w:proofErr w:type="spellEnd"/>
            <w:r w:rsidRPr="002D1669">
              <w:rPr>
                <w:rFonts w:ascii="Arial" w:hAnsi="Arial" w:cs="Arial"/>
              </w:rPr>
              <w:t xml:space="preserve">, J. </w:t>
            </w:r>
            <w:proofErr w:type="spellStart"/>
            <w:r w:rsidRPr="002D1669">
              <w:rPr>
                <w:rFonts w:ascii="Arial" w:hAnsi="Arial" w:cs="Arial"/>
              </w:rPr>
              <w:t>Niedritis</w:t>
            </w:r>
            <w:proofErr w:type="spellEnd"/>
            <w:r w:rsidRPr="002D1669">
              <w:rPr>
                <w:rFonts w:ascii="Arial" w:hAnsi="Arial" w:cs="Arial"/>
              </w:rPr>
              <w:t xml:space="preserve">, T. Kochanė, S. Budrienė. Preparation and characterization of </w:t>
            </w:r>
            <w:proofErr w:type="gramStart"/>
            <w:r w:rsidRPr="002D1669">
              <w:rPr>
                <w:rFonts w:ascii="Arial" w:hAnsi="Arial" w:cs="Arial"/>
              </w:rPr>
              <w:t>poly</w:t>
            </w:r>
            <w:r w:rsidR="0074415E">
              <w:rPr>
                <w:rFonts w:ascii="Arial" w:hAnsi="Arial" w:cs="Arial"/>
              </w:rPr>
              <w:t>(</w:t>
            </w:r>
            <w:proofErr w:type="gramEnd"/>
            <w:r w:rsidRPr="002D1669">
              <w:rPr>
                <w:rFonts w:ascii="Arial" w:hAnsi="Arial" w:cs="Arial"/>
              </w:rPr>
              <w:t xml:space="preserve">urethane-urea) </w:t>
            </w:r>
            <w:proofErr w:type="spellStart"/>
            <w:r w:rsidRPr="002D1669">
              <w:rPr>
                <w:rFonts w:ascii="Arial" w:hAnsi="Arial" w:cs="Arial"/>
              </w:rPr>
              <w:t>microparticles</w:t>
            </w:r>
            <w:proofErr w:type="spellEnd"/>
            <w:r w:rsidRPr="002D1669">
              <w:rPr>
                <w:rFonts w:ascii="Arial" w:hAnsi="Arial" w:cs="Arial"/>
              </w:rPr>
              <w:t xml:space="preserve"> with different amines, </w:t>
            </w:r>
            <w:proofErr w:type="spellStart"/>
            <w:r w:rsidRPr="002D1669">
              <w:rPr>
                <w:rFonts w:ascii="Arial" w:hAnsi="Arial" w:cs="Arial"/>
              </w:rPr>
              <w:t>diisocyanates</w:t>
            </w:r>
            <w:proofErr w:type="spellEnd"/>
            <w:r w:rsidRPr="002D1669">
              <w:rPr>
                <w:rFonts w:ascii="Arial" w:hAnsi="Arial" w:cs="Arial"/>
              </w:rPr>
              <w:t xml:space="preserve"> and poly(vinyl alcohol), Baltic Polymer Symposium, 2015, </w:t>
            </w:r>
            <w:proofErr w:type="spellStart"/>
            <w:r w:rsidRPr="002D1669">
              <w:rPr>
                <w:rFonts w:ascii="Arial" w:hAnsi="Arial" w:cs="Arial"/>
              </w:rPr>
              <w:t>programme</w:t>
            </w:r>
            <w:proofErr w:type="spellEnd"/>
            <w:r w:rsidRPr="002D1669">
              <w:rPr>
                <w:rFonts w:ascii="Arial" w:hAnsi="Arial" w:cs="Arial"/>
              </w:rPr>
              <w:t xml:space="preserve"> and proceedings.</w:t>
            </w:r>
          </w:p>
        </w:tc>
      </w:tr>
      <w:tr w:rsidR="00741EBE" w:rsidRPr="0074206B" w14:paraId="5642F228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2F511FEF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bCs/>
                <w:sz w:val="24"/>
                <w:szCs w:val="24"/>
                <w:lang w:val="lt-LT" w:eastAsia="lt-LT"/>
              </w:rPr>
              <w:t>Mokomosios ir metodinės priemonės, vadovėliai</w:t>
            </w:r>
          </w:p>
        </w:tc>
      </w:tr>
      <w:tr w:rsidR="00741EBE" w:rsidRPr="0074415E" w14:paraId="762E7ACA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6150DCAB" w14:textId="1B9DCC2B" w:rsidR="00741EBE" w:rsidRPr="0074206B" w:rsidRDefault="00796D08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lt-LT"/>
              </w:rPr>
              <w:t>Sorbentų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lt-LT"/>
              </w:rPr>
              <w:t xml:space="preserve"> chemija. Paskaitų konspektas, elektroninis leidinys, KTU leidykla, </w:t>
            </w:r>
            <w:r w:rsidRPr="0074415E">
              <w:rPr>
                <w:rFonts w:ascii="Arial" w:hAnsi="Arial" w:cs="Arial"/>
                <w:sz w:val="24"/>
                <w:szCs w:val="24"/>
                <w:lang w:val="de-DE"/>
              </w:rPr>
              <w:t>2012.</w:t>
            </w:r>
          </w:p>
        </w:tc>
      </w:tr>
      <w:tr w:rsidR="00741EBE" w:rsidRPr="0074206B" w14:paraId="0B5E81DA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028A36A1" w14:textId="7A0189B8" w:rsidR="00741EBE" w:rsidRPr="0074206B" w:rsidRDefault="00741EBE" w:rsidP="00EC2F41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Dalyvavimas projektuose</w:t>
            </w:r>
          </w:p>
        </w:tc>
      </w:tr>
      <w:tr w:rsidR="00E54461" w:rsidRPr="0074206B" w14:paraId="1BF88779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43A846FD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Pareigos projekte</w:t>
            </w:r>
          </w:p>
        </w:tc>
        <w:tc>
          <w:tcPr>
            <w:tcW w:w="1191" w:type="pct"/>
            <w:gridSpan w:val="4"/>
            <w:vAlign w:val="center"/>
          </w:tcPr>
          <w:p w14:paraId="29B82AA0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Projekto pavadinimas, kodas</w:t>
            </w:r>
          </w:p>
        </w:tc>
        <w:tc>
          <w:tcPr>
            <w:tcW w:w="907" w:type="pct"/>
            <w:gridSpan w:val="3"/>
            <w:vAlign w:val="center"/>
          </w:tcPr>
          <w:p w14:paraId="1947F4B3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Finansavimo šaltinis</w:t>
            </w:r>
          </w:p>
        </w:tc>
        <w:tc>
          <w:tcPr>
            <w:tcW w:w="859" w:type="pct"/>
            <w:gridSpan w:val="3"/>
            <w:vAlign w:val="center"/>
          </w:tcPr>
          <w:p w14:paraId="78832FD2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Projekto laikotarpis</w:t>
            </w:r>
          </w:p>
        </w:tc>
        <w:tc>
          <w:tcPr>
            <w:tcW w:w="974" w:type="pct"/>
            <w:gridSpan w:val="2"/>
            <w:vAlign w:val="center"/>
          </w:tcPr>
          <w:p w14:paraId="5BCE7F5A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t>Projekto koordinatorius (organizacija),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/>
              </w:rPr>
              <w:br/>
              <w:t>projekto vadovas (asmuo)</w:t>
            </w:r>
          </w:p>
        </w:tc>
      </w:tr>
      <w:tr w:rsidR="00E54461" w:rsidRPr="0074415E" w14:paraId="0719B33A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2871F663" w14:textId="6FB32099" w:rsidR="00741EBE" w:rsidRPr="0074206B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Arial" w:hAnsi="Arial" w:cs="Arial"/>
                <w:iCs/>
              </w:rPr>
              <w:t>tyrėja-mokslininkė</w:t>
            </w:r>
            <w:proofErr w:type="spellEnd"/>
          </w:p>
        </w:tc>
        <w:tc>
          <w:tcPr>
            <w:tcW w:w="1191" w:type="pct"/>
            <w:gridSpan w:val="4"/>
            <w:vAlign w:val="center"/>
          </w:tcPr>
          <w:p w14:paraId="37060E1B" w14:textId="64E63CB0" w:rsidR="00741EBE" w:rsidRPr="0074206B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iCs/>
              </w:rPr>
              <w:t>“</w:t>
            </w:r>
            <w:proofErr w:type="spellStart"/>
            <w:r>
              <w:rPr>
                <w:rFonts w:ascii="Arial" w:hAnsi="Arial" w:cs="Arial"/>
                <w:iCs/>
              </w:rPr>
              <w:t>Poliaspartin</w:t>
            </w:r>
            <w:proofErr w:type="spellEnd"/>
            <w:r>
              <w:rPr>
                <w:rFonts w:ascii="Arial" w:hAnsi="Arial" w:cs="Arial"/>
                <w:iCs/>
                <w:lang w:val="lt-LT"/>
              </w:rPr>
              <w:t>ė</w:t>
            </w:r>
            <w:r>
              <w:rPr>
                <w:rFonts w:ascii="Arial" w:hAnsi="Arial" w:cs="Arial"/>
                <w:iCs/>
              </w:rPr>
              <w:t xml:space="preserve">s </w:t>
            </w:r>
            <w:proofErr w:type="spellStart"/>
            <w:r>
              <w:rPr>
                <w:rFonts w:ascii="Arial" w:hAnsi="Arial" w:cs="Arial"/>
                <w:iCs/>
              </w:rPr>
              <w:t>dangos</w:t>
            </w:r>
            <w:proofErr w:type="spellEnd"/>
            <w:r>
              <w:rPr>
                <w:rFonts w:ascii="Arial" w:hAnsi="Arial" w:cs="Arial"/>
                <w:iCs/>
              </w:rPr>
              <w:t xml:space="preserve"> be </w:t>
            </w:r>
            <w:proofErr w:type="spellStart"/>
            <w:r>
              <w:rPr>
                <w:rFonts w:ascii="Arial" w:hAnsi="Arial" w:cs="Arial"/>
                <w:iCs/>
              </w:rPr>
              <w:t>lakiųjų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organinių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junginių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medienos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gaminiams</w:t>
            </w:r>
            <w:proofErr w:type="spellEnd"/>
            <w:r>
              <w:rPr>
                <w:rFonts w:ascii="Arial" w:hAnsi="Arial" w:cs="Arial"/>
                <w:iCs/>
              </w:rPr>
              <w:t xml:space="preserve">. </w:t>
            </w:r>
            <w:proofErr w:type="spellStart"/>
            <w:r>
              <w:rPr>
                <w:rFonts w:ascii="Arial" w:hAnsi="Arial" w:cs="Arial"/>
                <w:iCs/>
              </w:rPr>
              <w:t>Nr</w:t>
            </w:r>
            <w:proofErr w:type="spellEnd"/>
            <w:r>
              <w:rPr>
                <w:rFonts w:ascii="Arial" w:hAnsi="Arial" w:cs="Arial"/>
                <w:iCs/>
              </w:rPr>
              <w:t>. 01.2.1-LVPA-K-856-01-0089</w:t>
            </w:r>
          </w:p>
        </w:tc>
        <w:tc>
          <w:tcPr>
            <w:tcW w:w="907" w:type="pct"/>
            <w:gridSpan w:val="3"/>
            <w:vAlign w:val="center"/>
          </w:tcPr>
          <w:p w14:paraId="7E57E8FD" w14:textId="1D9915FB" w:rsidR="00741EBE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>EU</w:t>
            </w:r>
          </w:p>
        </w:tc>
        <w:tc>
          <w:tcPr>
            <w:tcW w:w="859" w:type="pct"/>
            <w:gridSpan w:val="3"/>
            <w:vAlign w:val="center"/>
          </w:tcPr>
          <w:p w14:paraId="0D92212F" w14:textId="389C72A0" w:rsidR="00741EBE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>2020-2023</w:t>
            </w:r>
          </w:p>
        </w:tc>
        <w:tc>
          <w:tcPr>
            <w:tcW w:w="974" w:type="pct"/>
            <w:gridSpan w:val="2"/>
            <w:vAlign w:val="center"/>
          </w:tcPr>
          <w:p w14:paraId="5D0B8FC6" w14:textId="77777777" w:rsidR="00741EBE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 xml:space="preserve">Ričardas Makuška (VU), </w:t>
            </w:r>
          </w:p>
          <w:p w14:paraId="3A0FB183" w14:textId="1170E161" w:rsidR="000C4643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 xml:space="preserve">Giedrius Baliukonis (UAB </w:t>
            </w:r>
            <w:proofErr w:type="spellStart"/>
            <w:r w:rsidRPr="00EC2F41">
              <w:rPr>
                <w:rFonts w:ascii="Arial" w:hAnsi="Arial" w:cs="Arial"/>
                <w:bCs/>
                <w:lang w:val="lt-LT"/>
              </w:rPr>
              <w:t>Litnobiles</w:t>
            </w:r>
            <w:proofErr w:type="spellEnd"/>
            <w:r w:rsidRPr="00EC2F41">
              <w:rPr>
                <w:rFonts w:ascii="Arial" w:hAnsi="Arial" w:cs="Arial"/>
                <w:bCs/>
                <w:lang w:val="lt-LT"/>
              </w:rPr>
              <w:t>)</w:t>
            </w:r>
          </w:p>
        </w:tc>
      </w:tr>
      <w:tr w:rsidR="000C4643" w:rsidRPr="0074206B" w14:paraId="5000FE32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45FAD89C" w14:textId="67E05A10" w:rsidR="000C4643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tyrėja-mokslininkė</w:t>
            </w:r>
            <w:proofErr w:type="spellEnd"/>
          </w:p>
        </w:tc>
        <w:tc>
          <w:tcPr>
            <w:tcW w:w="1191" w:type="pct"/>
            <w:gridSpan w:val="4"/>
            <w:vAlign w:val="center"/>
          </w:tcPr>
          <w:p w14:paraId="4354A13D" w14:textId="4FFE03AF" w:rsidR="000C4643" w:rsidRPr="0074206B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944C8C">
              <w:rPr>
                <w:rFonts w:ascii="Arial" w:hAnsi="Arial" w:cs="Arial"/>
                <w:iCs/>
              </w:rPr>
              <w:t>„</w:t>
            </w:r>
            <w:proofErr w:type="spellStart"/>
            <w:r w:rsidRPr="00944C8C">
              <w:rPr>
                <w:rFonts w:ascii="Arial" w:hAnsi="Arial" w:cs="Arial"/>
                <w:iCs/>
              </w:rPr>
              <w:t>Inovatyvios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antikorozinės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dangos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pramoniniams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ir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transporto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įrenginiams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bei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priemonėms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" </w:t>
            </w:r>
            <w:proofErr w:type="spellStart"/>
            <w:r w:rsidRPr="00944C8C">
              <w:rPr>
                <w:rFonts w:ascii="Arial" w:hAnsi="Arial" w:cs="Arial"/>
                <w:iCs/>
              </w:rPr>
              <w:t>Nr</w:t>
            </w:r>
            <w:proofErr w:type="spellEnd"/>
            <w:r w:rsidRPr="00944C8C">
              <w:rPr>
                <w:rFonts w:ascii="Arial" w:hAnsi="Arial" w:cs="Arial"/>
                <w:iCs/>
              </w:rPr>
              <w:t>. S-J05-LVPA-K-03-0139</w:t>
            </w:r>
          </w:p>
        </w:tc>
        <w:tc>
          <w:tcPr>
            <w:tcW w:w="907" w:type="pct"/>
            <w:gridSpan w:val="3"/>
            <w:vAlign w:val="center"/>
          </w:tcPr>
          <w:p w14:paraId="20BA8B1C" w14:textId="5B4EB914" w:rsidR="000C4643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>EU</w:t>
            </w:r>
          </w:p>
        </w:tc>
        <w:tc>
          <w:tcPr>
            <w:tcW w:w="859" w:type="pct"/>
            <w:gridSpan w:val="3"/>
            <w:vAlign w:val="center"/>
          </w:tcPr>
          <w:p w14:paraId="2F7784DE" w14:textId="5EFFE388" w:rsidR="000C4643" w:rsidRPr="00EC2F41" w:rsidRDefault="000C4643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EC2F41">
              <w:rPr>
                <w:rFonts w:ascii="Arial" w:hAnsi="Arial" w:cs="Arial"/>
                <w:bCs/>
              </w:rPr>
              <w:t>2018-2021</w:t>
            </w:r>
          </w:p>
        </w:tc>
        <w:tc>
          <w:tcPr>
            <w:tcW w:w="974" w:type="pct"/>
            <w:gridSpan w:val="2"/>
            <w:vAlign w:val="center"/>
          </w:tcPr>
          <w:p w14:paraId="6DBD7D6D" w14:textId="77777777" w:rsidR="000C4643" w:rsidRPr="00EC2F41" w:rsidRDefault="000C4643" w:rsidP="000C4643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 xml:space="preserve">Ričardas Makuška (VU), </w:t>
            </w:r>
          </w:p>
          <w:p w14:paraId="17310E5F" w14:textId="1981BFB4" w:rsidR="000C4643" w:rsidRPr="00EC2F41" w:rsidRDefault="000C4643" w:rsidP="000C4643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 xml:space="preserve">Giedrius Baliukonis (UAB </w:t>
            </w:r>
            <w:proofErr w:type="spellStart"/>
            <w:r w:rsidRPr="00EC2F41">
              <w:rPr>
                <w:rFonts w:ascii="Arial" w:hAnsi="Arial" w:cs="Arial"/>
                <w:bCs/>
                <w:lang w:val="lt-LT"/>
              </w:rPr>
              <w:t>Litnobiles</w:t>
            </w:r>
            <w:proofErr w:type="spellEnd"/>
            <w:r w:rsidRPr="00EC2F41">
              <w:rPr>
                <w:rFonts w:ascii="Arial" w:hAnsi="Arial" w:cs="Arial"/>
                <w:bCs/>
                <w:lang w:val="lt-LT"/>
              </w:rPr>
              <w:t>)</w:t>
            </w:r>
          </w:p>
        </w:tc>
      </w:tr>
      <w:tr w:rsidR="000C4643" w:rsidRPr="0074206B" w14:paraId="56FE39B3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1E657F1A" w14:textId="08CB240F" w:rsidR="000C4643" w:rsidRDefault="0010218C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</w:t>
            </w:r>
            <w:r w:rsidR="000C4643">
              <w:rPr>
                <w:rFonts w:ascii="Arial" w:hAnsi="Arial" w:cs="Arial"/>
                <w:iCs/>
              </w:rPr>
              <w:t xml:space="preserve">okslo </w:t>
            </w:r>
            <w:proofErr w:type="spellStart"/>
            <w:r w:rsidR="000C4643">
              <w:rPr>
                <w:rFonts w:ascii="Arial" w:hAnsi="Arial" w:cs="Arial"/>
                <w:iCs/>
              </w:rPr>
              <w:t>darbuotoja</w:t>
            </w:r>
            <w:proofErr w:type="spellEnd"/>
          </w:p>
        </w:tc>
        <w:tc>
          <w:tcPr>
            <w:tcW w:w="1191" w:type="pct"/>
            <w:gridSpan w:val="4"/>
            <w:vAlign w:val="center"/>
          </w:tcPr>
          <w:p w14:paraId="36C9D253" w14:textId="4218548B" w:rsidR="000C4643" w:rsidRPr="00944C8C" w:rsidRDefault="000C4643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r w:rsidRPr="00944C8C">
              <w:rPr>
                <w:rFonts w:ascii="Arial" w:hAnsi="Arial" w:cs="Arial"/>
                <w:iCs/>
              </w:rPr>
              <w:t>„</w:t>
            </w:r>
            <w:proofErr w:type="spellStart"/>
            <w:r w:rsidRPr="00944C8C">
              <w:rPr>
                <w:rFonts w:ascii="Arial" w:hAnsi="Arial" w:cs="Arial"/>
                <w:iCs/>
              </w:rPr>
              <w:t>Minkštųjų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audinių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inžinerija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: </w:t>
            </w:r>
            <w:proofErr w:type="spellStart"/>
            <w:r w:rsidRPr="00944C8C">
              <w:rPr>
                <w:rFonts w:ascii="Arial" w:hAnsi="Arial" w:cs="Arial"/>
                <w:iCs/>
              </w:rPr>
              <w:t>nuo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ląstelės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iki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dirbtinio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audinio</w:t>
            </w:r>
            <w:proofErr w:type="spellEnd"/>
            <w:proofErr w:type="gramStart"/>
            <w:r w:rsidRPr="00944C8C">
              <w:rPr>
                <w:rFonts w:ascii="Arial" w:hAnsi="Arial" w:cs="Arial"/>
                <w:iCs/>
              </w:rPr>
              <w:t>“ (</w:t>
            </w:r>
            <w:proofErr w:type="spellStart"/>
            <w:proofErr w:type="gramEnd"/>
            <w:r w:rsidRPr="00944C8C">
              <w:rPr>
                <w:rFonts w:ascii="Arial" w:hAnsi="Arial" w:cs="Arial"/>
                <w:iCs/>
              </w:rPr>
              <w:t>Sutartis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Nr</w:t>
            </w:r>
            <w:proofErr w:type="spellEnd"/>
            <w:r w:rsidRPr="00944C8C">
              <w:rPr>
                <w:rFonts w:ascii="Arial" w:hAnsi="Arial" w:cs="Arial"/>
                <w:iCs/>
              </w:rPr>
              <w:t>. SEN-13/2015).</w:t>
            </w:r>
          </w:p>
        </w:tc>
        <w:tc>
          <w:tcPr>
            <w:tcW w:w="907" w:type="pct"/>
            <w:gridSpan w:val="3"/>
            <w:vAlign w:val="center"/>
          </w:tcPr>
          <w:p w14:paraId="779697BC" w14:textId="7B81B358" w:rsidR="000C4643" w:rsidRPr="00EC2F41" w:rsidRDefault="000C4643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>EU</w:t>
            </w:r>
          </w:p>
        </w:tc>
        <w:tc>
          <w:tcPr>
            <w:tcW w:w="859" w:type="pct"/>
            <w:gridSpan w:val="3"/>
            <w:vAlign w:val="center"/>
          </w:tcPr>
          <w:p w14:paraId="6748027A" w14:textId="68ABF47A" w:rsidR="000C4643" w:rsidRPr="00EC2F41" w:rsidRDefault="000C4643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EC2F41">
              <w:rPr>
                <w:rFonts w:ascii="Arial" w:hAnsi="Arial" w:cs="Arial"/>
                <w:iCs/>
              </w:rPr>
              <w:t>2015-2018</w:t>
            </w:r>
          </w:p>
        </w:tc>
        <w:tc>
          <w:tcPr>
            <w:tcW w:w="974" w:type="pct"/>
            <w:gridSpan w:val="2"/>
            <w:vAlign w:val="center"/>
          </w:tcPr>
          <w:p w14:paraId="5093F3D6" w14:textId="7459A448" w:rsidR="000C4643" w:rsidRPr="00EC2F41" w:rsidRDefault="000C4643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lang w:val="lt-LT"/>
              </w:rPr>
            </w:pPr>
            <w:r w:rsidRPr="00EC2F41">
              <w:rPr>
                <w:rFonts w:ascii="Arial" w:hAnsi="Arial" w:cs="Arial"/>
                <w:bCs/>
                <w:lang w:val="lt-LT"/>
              </w:rPr>
              <w:t>Daiva Baltriukienė (VU GMC)</w:t>
            </w:r>
          </w:p>
        </w:tc>
      </w:tr>
      <w:tr w:rsidR="008A1500" w:rsidRPr="008A1500" w14:paraId="7A5EF0DC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5EA8FBC9" w14:textId="403D8A65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r w:rsidRPr="008A1500">
              <w:rPr>
                <w:rFonts w:ascii="Arial" w:hAnsi="Arial" w:cs="Arial"/>
                <w:iCs/>
              </w:rPr>
              <w:t xml:space="preserve">Mokslo </w:t>
            </w:r>
            <w:proofErr w:type="spellStart"/>
            <w:r w:rsidRPr="008A1500">
              <w:rPr>
                <w:rFonts w:ascii="Arial" w:hAnsi="Arial" w:cs="Arial"/>
                <w:iCs/>
              </w:rPr>
              <w:t>darbuotoja</w:t>
            </w:r>
            <w:proofErr w:type="spellEnd"/>
          </w:p>
        </w:tc>
        <w:tc>
          <w:tcPr>
            <w:tcW w:w="1191" w:type="pct"/>
            <w:gridSpan w:val="4"/>
            <w:vAlign w:val="center"/>
          </w:tcPr>
          <w:p w14:paraId="13D04023" w14:textId="6F9EC10D" w:rsidR="008A1500" w:rsidRPr="008A1500" w:rsidRDefault="008A1500" w:rsidP="008A150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iCs/>
              </w:rPr>
            </w:pPr>
            <w:r w:rsidRPr="008A1500">
              <w:rPr>
                <w:rFonts w:ascii="Arial" w:hAnsi="Arial" w:cs="Arial"/>
                <w:iCs/>
                <w:lang w:val="lt-LT"/>
              </w:rPr>
              <w:t>Pramoninės biotechnologijos plėtros programos</w:t>
            </w:r>
            <w:r w:rsidRPr="008A1500">
              <w:rPr>
                <w:rFonts w:ascii="Arial" w:hAnsi="Arial" w:cs="Arial"/>
                <w:b/>
                <w:iCs/>
                <w:lang w:val="lt-LT"/>
              </w:rPr>
              <w:t xml:space="preserve"> </w:t>
            </w:r>
            <w:r w:rsidRPr="008A1500">
              <w:rPr>
                <w:rFonts w:ascii="Arial" w:hAnsi="Arial" w:cs="Arial"/>
                <w:iCs/>
                <w:lang w:val="lt-LT"/>
              </w:rPr>
              <w:t>projekto “</w:t>
            </w:r>
            <w:proofErr w:type="spellStart"/>
            <w:r w:rsidRPr="008A1500">
              <w:rPr>
                <w:rFonts w:ascii="Arial" w:hAnsi="Arial" w:cs="Arial"/>
                <w:iCs/>
                <w:lang w:val="lt-LT"/>
              </w:rPr>
              <w:t>Biokatalizatorių</w:t>
            </w:r>
            <w:proofErr w:type="spellEnd"/>
            <w:r w:rsidRPr="008A1500">
              <w:rPr>
                <w:rFonts w:ascii="Arial" w:hAnsi="Arial" w:cs="Arial"/>
                <w:iCs/>
                <w:lang w:val="lt-LT"/>
              </w:rPr>
              <w:t xml:space="preserve"> imobilizavimo ir jų panaudojimo biotechnologiniuose procesuose tyrimai” dalyvė;.</w:t>
            </w:r>
          </w:p>
        </w:tc>
        <w:tc>
          <w:tcPr>
            <w:tcW w:w="907" w:type="pct"/>
            <w:gridSpan w:val="3"/>
            <w:vAlign w:val="center"/>
          </w:tcPr>
          <w:p w14:paraId="37394AB1" w14:textId="71A1F0AB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iCs/>
                <w:lang w:val="lt-LT"/>
              </w:rPr>
            </w:pPr>
            <w:r w:rsidRPr="008A1500">
              <w:rPr>
                <w:rFonts w:ascii="Arial" w:hAnsi="Arial" w:cs="Arial"/>
                <w:bCs/>
                <w:iCs/>
                <w:lang w:val="lt-LT"/>
              </w:rPr>
              <w:t>EU</w:t>
            </w:r>
          </w:p>
        </w:tc>
        <w:tc>
          <w:tcPr>
            <w:tcW w:w="859" w:type="pct"/>
            <w:gridSpan w:val="3"/>
            <w:vAlign w:val="center"/>
          </w:tcPr>
          <w:p w14:paraId="2BF3492F" w14:textId="3EF56288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r w:rsidRPr="008A1500">
              <w:rPr>
                <w:rFonts w:ascii="Arial" w:hAnsi="Arial" w:cs="Arial"/>
                <w:iCs/>
                <w:lang w:val="lt-LT"/>
              </w:rPr>
              <w:t>2007-2009</w:t>
            </w:r>
          </w:p>
        </w:tc>
        <w:tc>
          <w:tcPr>
            <w:tcW w:w="974" w:type="pct"/>
            <w:gridSpan w:val="2"/>
            <w:vAlign w:val="center"/>
          </w:tcPr>
          <w:p w14:paraId="2F4B6498" w14:textId="5361E6B3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iCs/>
                <w:lang w:val="lt-LT"/>
              </w:rPr>
            </w:pPr>
            <w:r w:rsidRPr="008A1500">
              <w:rPr>
                <w:rFonts w:ascii="Arial" w:hAnsi="Arial" w:cs="Arial"/>
                <w:bCs/>
                <w:iCs/>
                <w:lang w:val="lt-LT"/>
              </w:rPr>
              <w:t>Saulutė Budrienė (VU CHGF)</w:t>
            </w:r>
          </w:p>
        </w:tc>
      </w:tr>
      <w:tr w:rsidR="008A1500" w:rsidRPr="008A1500" w14:paraId="69B0E3C9" w14:textId="77777777" w:rsidTr="0010218C">
        <w:trPr>
          <w:cantSplit/>
          <w:trHeight w:val="201"/>
        </w:trPr>
        <w:tc>
          <w:tcPr>
            <w:tcW w:w="1069" w:type="pct"/>
            <w:gridSpan w:val="2"/>
            <w:vAlign w:val="center"/>
          </w:tcPr>
          <w:p w14:paraId="5679A0D2" w14:textId="62DA45BF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</w:rPr>
            </w:pPr>
            <w:r w:rsidRPr="008A1500">
              <w:rPr>
                <w:rFonts w:ascii="Arial" w:hAnsi="Arial" w:cs="Arial"/>
                <w:iCs/>
              </w:rPr>
              <w:t xml:space="preserve">Mokslo </w:t>
            </w:r>
            <w:proofErr w:type="spellStart"/>
            <w:r w:rsidRPr="008A1500">
              <w:rPr>
                <w:rFonts w:ascii="Arial" w:hAnsi="Arial" w:cs="Arial"/>
                <w:iCs/>
              </w:rPr>
              <w:t>darbuotoja</w:t>
            </w:r>
            <w:proofErr w:type="spellEnd"/>
          </w:p>
        </w:tc>
        <w:tc>
          <w:tcPr>
            <w:tcW w:w="1191" w:type="pct"/>
            <w:gridSpan w:val="4"/>
            <w:vAlign w:val="center"/>
          </w:tcPr>
          <w:p w14:paraId="131B7E58" w14:textId="1B500315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  <w:lang w:val="lt-LT"/>
              </w:rPr>
            </w:pPr>
            <w:r w:rsidRPr="008A1500">
              <w:rPr>
                <w:rFonts w:ascii="Arial" w:hAnsi="Arial" w:cs="Arial"/>
                <w:iCs/>
                <w:lang w:val="lt-LT"/>
              </w:rPr>
              <w:t xml:space="preserve">Nacionalinio mokslinio ESFA </w:t>
            </w:r>
            <w:proofErr w:type="spellStart"/>
            <w:r w:rsidRPr="008A1500">
              <w:rPr>
                <w:rFonts w:ascii="Arial" w:hAnsi="Arial" w:cs="Arial"/>
                <w:iCs/>
                <w:lang w:val="lt-LT"/>
              </w:rPr>
              <w:t>administruojamajo</w:t>
            </w:r>
            <w:proofErr w:type="spellEnd"/>
            <w:r w:rsidRPr="008A1500">
              <w:rPr>
                <w:rFonts w:ascii="Arial" w:hAnsi="Arial" w:cs="Arial"/>
                <w:iCs/>
                <w:lang w:val="lt-LT"/>
              </w:rPr>
              <w:t xml:space="preserve"> projekto „Biotechnologija ir </w:t>
            </w:r>
            <w:proofErr w:type="spellStart"/>
            <w:r w:rsidRPr="008A1500">
              <w:rPr>
                <w:rFonts w:ascii="Arial" w:hAnsi="Arial" w:cs="Arial"/>
                <w:iCs/>
                <w:lang w:val="lt-LT"/>
              </w:rPr>
              <w:t>biofarmacija</w:t>
            </w:r>
            <w:proofErr w:type="spellEnd"/>
            <w:r w:rsidRPr="008A1500">
              <w:rPr>
                <w:rFonts w:ascii="Arial" w:hAnsi="Arial" w:cs="Arial"/>
                <w:iCs/>
                <w:lang w:val="lt-LT"/>
              </w:rPr>
              <w:t xml:space="preserve">: fundamentiniai ir taikomieji </w:t>
            </w:r>
            <w:r w:rsidRPr="008A1500">
              <w:rPr>
                <w:rFonts w:ascii="Arial" w:hAnsi="Arial" w:cs="Arial"/>
                <w:iCs/>
              </w:rPr>
              <w:t>(</w:t>
            </w:r>
            <w:r w:rsidRPr="008A1500">
              <w:rPr>
                <w:rFonts w:ascii="Arial" w:hAnsi="Arial" w:cs="Arial"/>
                <w:iCs/>
                <w:color w:val="000000"/>
              </w:rPr>
              <w:t>VP1-3.1-SMM-08-K01-005)</w:t>
            </w:r>
          </w:p>
        </w:tc>
        <w:tc>
          <w:tcPr>
            <w:tcW w:w="907" w:type="pct"/>
            <w:gridSpan w:val="3"/>
            <w:vAlign w:val="center"/>
          </w:tcPr>
          <w:p w14:paraId="20CAB895" w14:textId="10B31CE0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iCs/>
                <w:lang w:val="lt-LT"/>
              </w:rPr>
            </w:pPr>
            <w:r w:rsidRPr="008A1500">
              <w:rPr>
                <w:rFonts w:ascii="Arial" w:hAnsi="Arial" w:cs="Arial"/>
                <w:bCs/>
                <w:iCs/>
                <w:lang w:val="lt-LT"/>
              </w:rPr>
              <w:t>EU</w:t>
            </w:r>
          </w:p>
        </w:tc>
        <w:tc>
          <w:tcPr>
            <w:tcW w:w="859" w:type="pct"/>
            <w:gridSpan w:val="3"/>
            <w:vAlign w:val="center"/>
          </w:tcPr>
          <w:p w14:paraId="1C17F1F7" w14:textId="0F3B71EF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Cs/>
                <w:lang w:val="lt-LT"/>
              </w:rPr>
            </w:pPr>
            <w:r w:rsidRPr="008A1500">
              <w:rPr>
                <w:rFonts w:ascii="Arial" w:hAnsi="Arial" w:cs="Arial"/>
                <w:iCs/>
                <w:lang w:val="lt-LT"/>
              </w:rPr>
              <w:t>2012-2015 m</w:t>
            </w:r>
          </w:p>
        </w:tc>
        <w:tc>
          <w:tcPr>
            <w:tcW w:w="974" w:type="pct"/>
            <w:gridSpan w:val="2"/>
            <w:vAlign w:val="center"/>
          </w:tcPr>
          <w:p w14:paraId="4673818C" w14:textId="77777777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iCs/>
                <w:lang w:val="lt-LT"/>
              </w:rPr>
            </w:pPr>
            <w:r w:rsidRPr="008A1500">
              <w:rPr>
                <w:rFonts w:ascii="Arial" w:hAnsi="Arial" w:cs="Arial"/>
                <w:bCs/>
                <w:iCs/>
                <w:lang w:val="lt-LT"/>
              </w:rPr>
              <w:t xml:space="preserve">Julija </w:t>
            </w:r>
            <w:proofErr w:type="spellStart"/>
            <w:r w:rsidRPr="008A1500">
              <w:rPr>
                <w:rFonts w:ascii="Arial" w:hAnsi="Arial" w:cs="Arial"/>
                <w:bCs/>
                <w:iCs/>
                <w:lang w:val="lt-LT"/>
              </w:rPr>
              <w:t>Razumienė</w:t>
            </w:r>
            <w:proofErr w:type="spellEnd"/>
          </w:p>
          <w:p w14:paraId="5DAA4F4B" w14:textId="6572D49B" w:rsidR="008A1500" w:rsidRPr="008A1500" w:rsidRDefault="008A1500" w:rsidP="008A150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Cs/>
                <w:iCs/>
                <w:lang w:val="lt-LT"/>
              </w:rPr>
            </w:pPr>
            <w:r w:rsidRPr="008A1500">
              <w:rPr>
                <w:rFonts w:ascii="Arial" w:hAnsi="Arial" w:cs="Arial"/>
                <w:bCs/>
                <w:iCs/>
                <w:lang w:val="lt-LT"/>
              </w:rPr>
              <w:t>(VU BCHI)</w:t>
            </w:r>
          </w:p>
        </w:tc>
      </w:tr>
      <w:tr w:rsidR="00741EBE" w:rsidRPr="0074206B" w14:paraId="70D08E04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63989D1F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</w:p>
        </w:tc>
      </w:tr>
      <w:tr w:rsidR="00741EBE" w:rsidRPr="0074206B" w14:paraId="5E91D3FF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0BE534E7" w14:textId="280D5234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t>Kalbų mokėjimas</w:t>
            </w:r>
          </w:p>
          <w:p w14:paraId="732B48B9" w14:textId="2FB3396C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i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i/>
                <w:sz w:val="24"/>
                <w:szCs w:val="24"/>
                <w:lang w:val="lt-LT" w:eastAsia="lt-LT"/>
              </w:rPr>
              <w:t>(Bendrieji Europos kalbų metmenys</w:t>
            </w:r>
            <w:r>
              <w:rPr>
                <w:rStyle w:val="FootnoteReference"/>
                <w:rFonts w:ascii="Arial" w:hAnsi="Arial" w:cs="Arial"/>
                <w:i/>
                <w:sz w:val="24"/>
                <w:szCs w:val="24"/>
                <w:lang w:val="lt-LT" w:eastAsia="lt-LT"/>
              </w:rPr>
              <w:footnoteReference w:id="1"/>
            </w:r>
            <w:r w:rsidRPr="0074206B">
              <w:rPr>
                <w:rFonts w:ascii="Arial" w:hAnsi="Arial" w:cs="Arial"/>
                <w:i/>
                <w:sz w:val="24"/>
                <w:szCs w:val="24"/>
                <w:lang w:val="lt-LT" w:eastAsia="lt-LT"/>
              </w:rPr>
              <w:t>)</w:t>
            </w:r>
          </w:p>
        </w:tc>
      </w:tr>
      <w:tr w:rsidR="00741EBE" w:rsidRPr="0074206B" w14:paraId="68E402E2" w14:textId="77777777" w:rsidTr="000B33B2">
        <w:trPr>
          <w:cantSplit/>
          <w:trHeight w:val="20"/>
        </w:trPr>
        <w:tc>
          <w:tcPr>
            <w:tcW w:w="5000" w:type="pct"/>
            <w:gridSpan w:val="14"/>
            <w:vAlign w:val="center"/>
          </w:tcPr>
          <w:p w14:paraId="1B7EC1F8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 xml:space="preserve">Gimtoji kalba: </w:t>
            </w:r>
            <w:r w:rsidRPr="0074206B">
              <w:rPr>
                <w:rFonts w:ascii="Arial" w:hAnsi="Arial" w:cs="Arial"/>
                <w:sz w:val="24"/>
                <w:szCs w:val="24"/>
                <w:lang w:val="lt-LT" w:eastAsia="ar-SA"/>
              </w:rPr>
              <w:t>lietuvių</w:t>
            </w: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 xml:space="preserve"> (</w:t>
            </w:r>
            <w:r w:rsidRPr="00E33AD8">
              <w:rPr>
                <w:rFonts w:ascii="Arial" w:hAnsi="Arial" w:cs="Arial"/>
                <w:i/>
                <w:sz w:val="24"/>
                <w:szCs w:val="24"/>
                <w:lang w:val="lt-LT" w:eastAsia="ar-SA"/>
              </w:rPr>
              <w:t>arba įrašykite atitinkamą kalbą, kuri Jums yra gimtoji</w:t>
            </w: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)</w:t>
            </w:r>
          </w:p>
        </w:tc>
      </w:tr>
      <w:tr w:rsidR="00E54461" w:rsidRPr="0074206B" w14:paraId="2A0128C9" w14:textId="77777777" w:rsidTr="0010218C">
        <w:trPr>
          <w:cantSplit/>
          <w:trHeight w:val="20"/>
        </w:trPr>
        <w:tc>
          <w:tcPr>
            <w:tcW w:w="623" w:type="pct"/>
            <w:vMerge w:val="restart"/>
            <w:vAlign w:val="center"/>
          </w:tcPr>
          <w:p w14:paraId="0E4F965C" w14:textId="5A40D82A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Užsienio k</w:t>
            </w: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alba</w:t>
            </w:r>
          </w:p>
        </w:tc>
        <w:tc>
          <w:tcPr>
            <w:tcW w:w="1543" w:type="pct"/>
            <w:gridSpan w:val="4"/>
            <w:vAlign w:val="center"/>
          </w:tcPr>
          <w:p w14:paraId="1E47FD5F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Supratimas</w:t>
            </w:r>
          </w:p>
        </w:tc>
        <w:tc>
          <w:tcPr>
            <w:tcW w:w="2107" w:type="pct"/>
            <w:gridSpan w:val="8"/>
            <w:vAlign w:val="center"/>
          </w:tcPr>
          <w:p w14:paraId="4ACFF6F5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Kalbėjimas</w:t>
            </w:r>
          </w:p>
        </w:tc>
        <w:tc>
          <w:tcPr>
            <w:tcW w:w="727" w:type="pct"/>
            <w:vMerge w:val="restart"/>
            <w:vAlign w:val="center"/>
          </w:tcPr>
          <w:p w14:paraId="2741FFDA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Rašymas</w:t>
            </w:r>
          </w:p>
        </w:tc>
      </w:tr>
      <w:tr w:rsidR="00E54461" w:rsidRPr="0074206B" w14:paraId="0B801562" w14:textId="77777777" w:rsidTr="00AD217F">
        <w:trPr>
          <w:cantSplit/>
          <w:trHeight w:val="20"/>
        </w:trPr>
        <w:tc>
          <w:tcPr>
            <w:tcW w:w="623" w:type="pct"/>
            <w:vMerge/>
            <w:vAlign w:val="center"/>
          </w:tcPr>
          <w:p w14:paraId="098671A7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</w:p>
        </w:tc>
        <w:tc>
          <w:tcPr>
            <w:tcW w:w="760" w:type="pct"/>
            <w:gridSpan w:val="2"/>
            <w:vAlign w:val="center"/>
          </w:tcPr>
          <w:p w14:paraId="05C2C3DA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Klausymas</w:t>
            </w:r>
          </w:p>
        </w:tc>
        <w:tc>
          <w:tcPr>
            <w:tcW w:w="783" w:type="pct"/>
            <w:gridSpan w:val="2"/>
            <w:vAlign w:val="center"/>
          </w:tcPr>
          <w:p w14:paraId="1BE02DCE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Skaitymas</w:t>
            </w:r>
          </w:p>
        </w:tc>
        <w:tc>
          <w:tcPr>
            <w:tcW w:w="1063" w:type="pct"/>
            <w:gridSpan w:val="5"/>
            <w:vAlign w:val="center"/>
          </w:tcPr>
          <w:p w14:paraId="024A06BD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Bendravimas žodžiu</w:t>
            </w:r>
          </w:p>
        </w:tc>
        <w:tc>
          <w:tcPr>
            <w:tcW w:w="1044" w:type="pct"/>
            <w:gridSpan w:val="3"/>
            <w:vAlign w:val="center"/>
          </w:tcPr>
          <w:p w14:paraId="6CF13E66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  <w:r w:rsidRPr="0074206B"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  <w:t>Informacijos pateikimas žodžiu</w:t>
            </w:r>
          </w:p>
        </w:tc>
        <w:tc>
          <w:tcPr>
            <w:tcW w:w="727" w:type="pct"/>
            <w:vMerge/>
            <w:vAlign w:val="center"/>
          </w:tcPr>
          <w:p w14:paraId="7DF3C2AB" w14:textId="77777777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ar-SA"/>
              </w:rPr>
            </w:pPr>
          </w:p>
        </w:tc>
      </w:tr>
      <w:tr w:rsidR="00E54461" w:rsidRPr="0074206B" w14:paraId="691C1E71" w14:textId="77777777" w:rsidTr="00AD217F">
        <w:trPr>
          <w:cantSplit/>
          <w:trHeight w:val="20"/>
        </w:trPr>
        <w:tc>
          <w:tcPr>
            <w:tcW w:w="623" w:type="pct"/>
            <w:vAlign w:val="center"/>
          </w:tcPr>
          <w:p w14:paraId="4BC0FC6F" w14:textId="30997D61" w:rsidR="00741EBE" w:rsidRPr="0074206B" w:rsidRDefault="0010218C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Anglų</w:t>
            </w:r>
          </w:p>
        </w:tc>
        <w:tc>
          <w:tcPr>
            <w:tcW w:w="760" w:type="pct"/>
            <w:gridSpan w:val="2"/>
            <w:vAlign w:val="center"/>
          </w:tcPr>
          <w:p w14:paraId="45A11221" w14:textId="2A343D2C" w:rsidR="00741EBE" w:rsidRPr="0010218C" w:rsidRDefault="0010218C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3" w:type="pct"/>
            <w:gridSpan w:val="2"/>
            <w:vAlign w:val="center"/>
          </w:tcPr>
          <w:p w14:paraId="4F4153BB" w14:textId="0838230C" w:rsidR="00741EBE" w:rsidRPr="0074206B" w:rsidRDefault="0010218C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B2</w:t>
            </w:r>
          </w:p>
        </w:tc>
        <w:tc>
          <w:tcPr>
            <w:tcW w:w="1063" w:type="pct"/>
            <w:gridSpan w:val="5"/>
            <w:vAlign w:val="center"/>
          </w:tcPr>
          <w:p w14:paraId="1835FB50" w14:textId="1A29D66D" w:rsidR="00741EBE" w:rsidRPr="0074206B" w:rsidRDefault="0010218C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B2</w:t>
            </w:r>
          </w:p>
        </w:tc>
        <w:tc>
          <w:tcPr>
            <w:tcW w:w="1044" w:type="pct"/>
            <w:gridSpan w:val="3"/>
            <w:vAlign w:val="center"/>
          </w:tcPr>
          <w:p w14:paraId="69F6DF63" w14:textId="5AF9FEE2" w:rsidR="00741EBE" w:rsidRPr="0074206B" w:rsidRDefault="0010218C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B2</w:t>
            </w:r>
            <w:bookmarkStart w:id="0" w:name="_GoBack"/>
            <w:bookmarkEnd w:id="0"/>
          </w:p>
        </w:tc>
        <w:tc>
          <w:tcPr>
            <w:tcW w:w="727" w:type="pct"/>
            <w:vAlign w:val="center"/>
          </w:tcPr>
          <w:p w14:paraId="3EE4C310" w14:textId="6F49685F" w:rsidR="00741EBE" w:rsidRPr="0074206B" w:rsidRDefault="0010218C" w:rsidP="00741EBE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B2</w:t>
            </w:r>
          </w:p>
        </w:tc>
      </w:tr>
      <w:tr w:rsidR="007752F0" w:rsidRPr="0074206B" w14:paraId="5FCFD317" w14:textId="77777777" w:rsidTr="00DC46AA">
        <w:trPr>
          <w:cantSplit/>
          <w:trHeight w:val="20"/>
        </w:trPr>
        <w:tc>
          <w:tcPr>
            <w:tcW w:w="623" w:type="pct"/>
            <w:vAlign w:val="center"/>
          </w:tcPr>
          <w:p w14:paraId="4001DFB1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Lenkų</w:t>
            </w:r>
          </w:p>
        </w:tc>
        <w:tc>
          <w:tcPr>
            <w:tcW w:w="760" w:type="pct"/>
            <w:gridSpan w:val="2"/>
            <w:vAlign w:val="center"/>
          </w:tcPr>
          <w:p w14:paraId="22EF6910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3" w:type="pct"/>
            <w:gridSpan w:val="2"/>
            <w:vAlign w:val="center"/>
          </w:tcPr>
          <w:p w14:paraId="559E4388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3" w:type="pct"/>
            <w:gridSpan w:val="5"/>
            <w:vAlign w:val="center"/>
          </w:tcPr>
          <w:p w14:paraId="3391A581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pct"/>
            <w:gridSpan w:val="3"/>
            <w:vAlign w:val="center"/>
          </w:tcPr>
          <w:p w14:paraId="75870B52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7" w:type="pct"/>
            <w:vAlign w:val="center"/>
          </w:tcPr>
          <w:p w14:paraId="58CA313D" w14:textId="77777777" w:rsidR="007752F0" w:rsidRDefault="007752F0" w:rsidP="00DC46A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7752F0" w:rsidRPr="0074206B" w14:paraId="6681F734" w14:textId="77777777" w:rsidTr="00A17069">
        <w:trPr>
          <w:cantSplit/>
          <w:trHeight w:val="20"/>
        </w:trPr>
        <w:tc>
          <w:tcPr>
            <w:tcW w:w="623" w:type="pct"/>
            <w:vAlign w:val="center"/>
          </w:tcPr>
          <w:p w14:paraId="51C547D2" w14:textId="77777777" w:rsidR="007752F0" w:rsidRPr="0010218C" w:rsidRDefault="007752F0" w:rsidP="00A17069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Rusų</w:t>
            </w:r>
          </w:p>
        </w:tc>
        <w:tc>
          <w:tcPr>
            <w:tcW w:w="760" w:type="pct"/>
            <w:gridSpan w:val="2"/>
            <w:vAlign w:val="center"/>
          </w:tcPr>
          <w:p w14:paraId="18611A35" w14:textId="77777777" w:rsidR="007752F0" w:rsidRPr="0010218C" w:rsidRDefault="007752F0" w:rsidP="00A17069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3" w:type="pct"/>
            <w:gridSpan w:val="2"/>
            <w:vAlign w:val="center"/>
          </w:tcPr>
          <w:p w14:paraId="603731B4" w14:textId="77777777" w:rsidR="007752F0" w:rsidRPr="0074206B" w:rsidRDefault="007752F0" w:rsidP="00A17069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C2</w:t>
            </w:r>
          </w:p>
        </w:tc>
        <w:tc>
          <w:tcPr>
            <w:tcW w:w="1063" w:type="pct"/>
            <w:gridSpan w:val="5"/>
            <w:vAlign w:val="center"/>
          </w:tcPr>
          <w:p w14:paraId="407AA70C" w14:textId="77777777" w:rsidR="007752F0" w:rsidRPr="0074206B" w:rsidRDefault="007752F0" w:rsidP="00A17069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C2</w:t>
            </w:r>
          </w:p>
        </w:tc>
        <w:tc>
          <w:tcPr>
            <w:tcW w:w="1044" w:type="pct"/>
            <w:gridSpan w:val="3"/>
            <w:vAlign w:val="center"/>
          </w:tcPr>
          <w:p w14:paraId="3C675D56" w14:textId="77777777" w:rsidR="007752F0" w:rsidRPr="0074206B" w:rsidRDefault="007752F0" w:rsidP="00A17069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C2</w:t>
            </w:r>
          </w:p>
        </w:tc>
        <w:tc>
          <w:tcPr>
            <w:tcW w:w="727" w:type="pct"/>
            <w:vAlign w:val="center"/>
          </w:tcPr>
          <w:p w14:paraId="64748E3F" w14:textId="77777777" w:rsidR="007752F0" w:rsidRPr="0074206B" w:rsidRDefault="007752F0" w:rsidP="00A17069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lt-LT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lt-LT" w:eastAsia="ar-SA"/>
              </w:rPr>
              <w:t>C2</w:t>
            </w:r>
          </w:p>
        </w:tc>
      </w:tr>
      <w:tr w:rsidR="00741EBE" w:rsidRPr="0074206B" w14:paraId="3555904E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3CA23199" w14:textId="22176032" w:rsidR="00741EBE" w:rsidRPr="0074206B" w:rsidRDefault="00741EBE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74206B">
              <w:rPr>
                <w:rFonts w:ascii="Arial" w:hAnsi="Arial" w:cs="Arial"/>
                <w:b/>
                <w:iCs/>
                <w:sz w:val="24"/>
                <w:szCs w:val="24"/>
                <w:lang w:val="lt-LT" w:eastAsia="lt-LT"/>
              </w:rPr>
              <w:t>Ekspertinė veikla</w:t>
            </w:r>
          </w:p>
        </w:tc>
      </w:tr>
      <w:tr w:rsidR="00741EBE" w:rsidRPr="0010218C" w14:paraId="0F7F89FC" w14:textId="77777777" w:rsidTr="000B33B2">
        <w:trPr>
          <w:cantSplit/>
          <w:trHeight w:val="20"/>
        </w:trPr>
        <w:tc>
          <w:tcPr>
            <w:tcW w:w="5000" w:type="pct"/>
            <w:gridSpan w:val="14"/>
          </w:tcPr>
          <w:p w14:paraId="2E8DC306" w14:textId="0564B376" w:rsidR="00741EBE" w:rsidRPr="0010218C" w:rsidRDefault="0010218C" w:rsidP="00741EBE">
            <w:pPr>
              <w:widowControl w:val="0"/>
              <w:tabs>
                <w:tab w:val="left" w:pos="284"/>
              </w:tabs>
              <w:spacing w:after="0"/>
              <w:rPr>
                <w:rFonts w:ascii="Arial" w:hAnsi="Arial" w:cs="Arial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944C8C">
              <w:rPr>
                <w:rFonts w:ascii="Arial" w:hAnsi="Arial" w:cs="Arial"/>
                <w:iCs/>
              </w:rPr>
              <w:t>Tarptautinių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mokslinių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žurnalų</w:t>
            </w:r>
            <w:proofErr w:type="spellEnd"/>
            <w:r w:rsidRPr="00944C8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44C8C">
              <w:rPr>
                <w:rFonts w:ascii="Arial" w:hAnsi="Arial" w:cs="Arial"/>
                <w:iCs/>
              </w:rPr>
              <w:t>recenzentė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</w:rPr>
              <w:t>dalyvauj</w:t>
            </w:r>
            <w:r w:rsidR="0040108E">
              <w:rPr>
                <w:rFonts w:ascii="Arial" w:hAnsi="Arial" w:cs="Arial"/>
                <w:iCs/>
              </w:rPr>
              <w:t>u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geriausių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disertacijų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ir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magistro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darbų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vertinime</w:t>
            </w:r>
            <w:proofErr w:type="spellEnd"/>
            <w:r>
              <w:rPr>
                <w:rFonts w:ascii="Arial" w:hAnsi="Arial" w:cs="Arial"/>
                <w:iCs/>
              </w:rPr>
              <w:t>.</w:t>
            </w:r>
          </w:p>
        </w:tc>
      </w:tr>
    </w:tbl>
    <w:p w14:paraId="48E7936B" w14:textId="77777777" w:rsidR="0074206B" w:rsidRPr="0074206B" w:rsidRDefault="0074206B" w:rsidP="00741EBE">
      <w:pPr>
        <w:spacing w:after="0"/>
        <w:rPr>
          <w:rFonts w:ascii="Arial" w:hAnsi="Arial" w:cs="Arial"/>
          <w:sz w:val="24"/>
          <w:szCs w:val="24"/>
          <w:lang w:val="lt-LT"/>
        </w:rPr>
      </w:pPr>
    </w:p>
    <w:sectPr w:rsidR="0074206B" w:rsidRPr="0074206B" w:rsidSect="0074206B">
      <w:headerReference w:type="default" r:id="rId13"/>
      <w:pgSz w:w="11906" w:h="16838"/>
      <w:pgMar w:top="1134" w:right="70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6CA1" w14:textId="77777777" w:rsidR="00CD0E3A" w:rsidRDefault="00CD0E3A" w:rsidP="0074206B">
      <w:pPr>
        <w:spacing w:after="0" w:line="240" w:lineRule="auto"/>
      </w:pPr>
      <w:r>
        <w:separator/>
      </w:r>
    </w:p>
  </w:endnote>
  <w:endnote w:type="continuationSeparator" w:id="0">
    <w:p w14:paraId="6977EB3B" w14:textId="77777777" w:rsidR="00CD0E3A" w:rsidRDefault="00CD0E3A" w:rsidP="007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09C5" w14:textId="77777777" w:rsidR="00CD0E3A" w:rsidRDefault="00CD0E3A" w:rsidP="0074206B">
      <w:pPr>
        <w:spacing w:after="0" w:line="240" w:lineRule="auto"/>
      </w:pPr>
      <w:r>
        <w:separator/>
      </w:r>
    </w:p>
  </w:footnote>
  <w:footnote w:type="continuationSeparator" w:id="0">
    <w:p w14:paraId="1C7BC7CD" w14:textId="77777777" w:rsidR="00CD0E3A" w:rsidRDefault="00CD0E3A" w:rsidP="0074206B">
      <w:pPr>
        <w:spacing w:after="0" w:line="240" w:lineRule="auto"/>
      </w:pPr>
      <w:r>
        <w:continuationSeparator/>
      </w:r>
    </w:p>
  </w:footnote>
  <w:footnote w:id="1">
    <w:p w14:paraId="09AEC32C" w14:textId="7D62CAAC" w:rsidR="00741EBE" w:rsidRPr="00E33AD8" w:rsidRDefault="00741EBE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33AD8">
          <w:rPr>
            <w:rStyle w:val="Hyperlink"/>
          </w:rPr>
          <w:t>https://rm.coe.int/1680459f97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BB85" w14:textId="77777777" w:rsidR="0074206B" w:rsidRPr="00BA461B" w:rsidRDefault="0074206B" w:rsidP="0074206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8C9ABC" wp14:editId="6C190B04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D51E3A" id="Tiesioji jungtis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" strokecolor="#63002c" strokeweight="1pt">
              <w10:wrap anchorx="page" anchory="page"/>
            </v:line>
          </w:pict>
        </mc:Fallback>
      </mc:AlternateContent>
    </w:r>
  </w:p>
  <w:p w14:paraId="531FBB5A" w14:textId="77777777" w:rsidR="0074206B" w:rsidRDefault="0074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DB6"/>
    <w:multiLevelType w:val="hybridMultilevel"/>
    <w:tmpl w:val="B9488850"/>
    <w:lvl w:ilvl="0" w:tplc="8750879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6B6A"/>
    <w:multiLevelType w:val="hybridMultilevel"/>
    <w:tmpl w:val="673AB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750"/>
    <w:multiLevelType w:val="hybridMultilevel"/>
    <w:tmpl w:val="D7B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6CE7"/>
    <w:multiLevelType w:val="hybridMultilevel"/>
    <w:tmpl w:val="F40275BE"/>
    <w:lvl w:ilvl="0" w:tplc="74DE0B2C">
      <w:start w:val="1"/>
      <w:numFmt w:val="decimal"/>
      <w:lvlText w:val="%1."/>
      <w:lvlJc w:val="left"/>
      <w:pPr>
        <w:ind w:left="1654" w:hanging="94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8460507"/>
    <w:multiLevelType w:val="hybridMultilevel"/>
    <w:tmpl w:val="B8E6D3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22EE2"/>
    <w:multiLevelType w:val="hybridMultilevel"/>
    <w:tmpl w:val="037E4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3A"/>
    <w:rsid w:val="000C4643"/>
    <w:rsid w:val="0010218C"/>
    <w:rsid w:val="0011149D"/>
    <w:rsid w:val="00383D51"/>
    <w:rsid w:val="003F3F3A"/>
    <w:rsid w:val="0040108E"/>
    <w:rsid w:val="00497FE8"/>
    <w:rsid w:val="0055290B"/>
    <w:rsid w:val="005A533A"/>
    <w:rsid w:val="005F0833"/>
    <w:rsid w:val="006663C4"/>
    <w:rsid w:val="006D6978"/>
    <w:rsid w:val="00741EBE"/>
    <w:rsid w:val="0074206B"/>
    <w:rsid w:val="0074415E"/>
    <w:rsid w:val="007752F0"/>
    <w:rsid w:val="00796D08"/>
    <w:rsid w:val="0085575D"/>
    <w:rsid w:val="00881BEF"/>
    <w:rsid w:val="0088241C"/>
    <w:rsid w:val="008930BA"/>
    <w:rsid w:val="008957B5"/>
    <w:rsid w:val="008A1500"/>
    <w:rsid w:val="008B537D"/>
    <w:rsid w:val="00965297"/>
    <w:rsid w:val="00AA0D7D"/>
    <w:rsid w:val="00AD217F"/>
    <w:rsid w:val="00AF3FD3"/>
    <w:rsid w:val="00BB620C"/>
    <w:rsid w:val="00C8005F"/>
    <w:rsid w:val="00CD0E3A"/>
    <w:rsid w:val="00D722BA"/>
    <w:rsid w:val="00D8444D"/>
    <w:rsid w:val="00DC4AF7"/>
    <w:rsid w:val="00E04B55"/>
    <w:rsid w:val="00E33AD8"/>
    <w:rsid w:val="00E36A0B"/>
    <w:rsid w:val="00E54461"/>
    <w:rsid w:val="00E91DC3"/>
    <w:rsid w:val="00EA67DE"/>
    <w:rsid w:val="00EC2F41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1025"/>
  <w15:chartTrackingRefBased/>
  <w15:docId w15:val="{5B2A9BE0-477E-4AFF-BEC6-24381DEB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3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F3A"/>
    <w:pPr>
      <w:keepNext/>
      <w:numPr>
        <w:numId w:val="2"/>
      </w:numPr>
      <w:spacing w:before="100" w:beforeAutospacing="1" w:after="100" w:afterAutospacing="1" w:line="240" w:lineRule="auto"/>
      <w:ind w:left="357" w:hanging="357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F3F3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4"/>
      <w:lang w:val="lt-L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3A"/>
    <w:rPr>
      <w:rFonts w:ascii="Times New Roman" w:eastAsia="Times New Roman" w:hAnsi="Times New Roman" w:cs="Times New Roman"/>
      <w:bCs/>
      <w:sz w:val="24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F3F3A"/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LevelAssessment-Description">
    <w:name w:val="Level Assessment - Description"/>
    <w:basedOn w:val="Normal"/>
    <w:next w:val="Normal"/>
    <w:qFormat/>
    <w:rsid w:val="003F3F3A"/>
    <w:pPr>
      <w:suppressAutoHyphens/>
      <w:spacing w:after="0" w:line="240" w:lineRule="auto"/>
      <w:ind w:left="28"/>
      <w:jc w:val="center"/>
      <w:textAlignment w:val="bottom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Heading1">
    <w:name w:val="Level Assessment - Heading 1"/>
    <w:basedOn w:val="Normal"/>
    <w:rsid w:val="003F3F3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LevelAssessment-Heading2">
    <w:name w:val="Level Assessment - Heading 2"/>
    <w:basedOn w:val="Normal"/>
    <w:rsid w:val="003F3F3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character" w:styleId="Hyperlink">
    <w:name w:val="Hyperlink"/>
    <w:uiPriority w:val="99"/>
    <w:rsid w:val="003F3F3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F3F3A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3F3F3A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2">
    <w:name w:val="Body Text 2"/>
    <w:basedOn w:val="Normal"/>
    <w:link w:val="BodyText2Char"/>
    <w:uiPriority w:val="99"/>
    <w:unhideWhenUsed/>
    <w:rsid w:val="003F3F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F3F3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F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urinys">
    <w:name w:val="cv turinys"/>
    <w:basedOn w:val="Heading1"/>
    <w:link w:val="cvturinysDiagrama"/>
    <w:qFormat/>
    <w:rsid w:val="0088241C"/>
    <w:pPr>
      <w:keepLines/>
      <w:numPr>
        <w:numId w:val="0"/>
      </w:numPr>
      <w:spacing w:before="240" w:beforeAutospacing="0" w:after="160" w:afterAutospacing="0"/>
    </w:pPr>
    <w:rPr>
      <w:rFonts w:eastAsiaTheme="majorEastAsia" w:cstheme="majorBidi"/>
      <w:b/>
      <w:bCs w:val="0"/>
      <w:iCs/>
      <w:sz w:val="20"/>
      <w:szCs w:val="32"/>
    </w:rPr>
  </w:style>
  <w:style w:type="character" w:customStyle="1" w:styleId="cvturinysDiagrama">
    <w:name w:val="cv turinys Diagrama"/>
    <w:basedOn w:val="Heading1Char"/>
    <w:link w:val="cvturinys"/>
    <w:rsid w:val="0088241C"/>
    <w:rPr>
      <w:rFonts w:ascii="Times New Roman" w:eastAsiaTheme="majorEastAsia" w:hAnsi="Times New Roman" w:cstheme="majorBidi"/>
      <w:b/>
      <w:bCs w:val="0"/>
      <w:iCs/>
      <w:sz w:val="20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6B"/>
    <w:rPr>
      <w:lang w:val="en-US"/>
    </w:rPr>
  </w:style>
  <w:style w:type="paragraph" w:styleId="ListParagraph">
    <w:name w:val="List Paragraph"/>
    <w:basedOn w:val="Normal"/>
    <w:uiPriority w:val="34"/>
    <w:qFormat/>
    <w:rsid w:val="007420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4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4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4D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A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3AD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0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m.coe.int/1680459f9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7B9F2653E34282F178030553450D" ma:contentTypeVersion="2" ma:contentTypeDescription="Create a new document." ma:contentTypeScope="" ma:versionID="e0fcb7888923263ef0e760c40a1bcbda">
  <xsd:schema xmlns:xsd="http://www.w3.org/2001/XMLSchema" xmlns:xs="http://www.w3.org/2001/XMLSchema" xmlns:p="http://schemas.microsoft.com/office/2006/metadata/properties" xmlns:ns2="bad06f81-012e-425f-9c03-666104c30b78" targetNamespace="http://schemas.microsoft.com/office/2006/metadata/properties" ma:root="true" ma:fieldsID="d66bca0ad27b5fc7b040a4b5d3485ca0" ns2:_="">
    <xsd:import namespace="bad06f81-012e-425f-9c03-666104c30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6f81-012e-425f-9c03-666104c30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DE8-87D0-4E64-AD5A-1C47D5D4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ABF34-CCB0-4FAE-BD8B-5F83C99B9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3CF10-52B1-4762-A5F8-8451D26EE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06f81-012e-425f-9c03-666104c3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22465-C041-41C7-A536-145D3EB2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6909</Words>
  <Characters>3939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Malaiškaitė</dc:creator>
  <cp:keywords/>
  <dc:description/>
  <cp:lastModifiedBy>Ricardas</cp:lastModifiedBy>
  <cp:revision>2</cp:revision>
  <dcterms:created xsi:type="dcterms:W3CDTF">2023-01-25T10:17:00Z</dcterms:created>
  <dcterms:modified xsi:type="dcterms:W3CDTF">2023-01-25T10:17:00Z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0x01010003A47B9F2653E34282F178030553450D</vt:lpwstr>
  </property>
</Properties>
</file>