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B8" w:rsidRDefault="0075459B">
      <w:pPr>
        <w:tabs>
          <w:tab w:val="left" w:pos="1843"/>
        </w:tabs>
        <w:spacing w:after="120"/>
        <w:jc w:val="center"/>
        <w:rPr>
          <w:rFonts w:ascii="Arial" w:hAnsi="Arial" w:cs="Arial"/>
          <w:b/>
        </w:rPr>
      </w:pPr>
      <w:bookmarkStart w:id="0" w:name="_GoBack"/>
      <w:bookmarkEnd w:id="0"/>
      <w:r w:rsidRPr="0075459B">
        <w:rPr>
          <w:rFonts w:ascii="Arial" w:hAnsi="Arial" w:cs="Arial"/>
          <w:b/>
        </w:rPr>
        <w:t>DESCRIPTION OF COURSE UNIT FOR DOCTORAL STUDIES AT VILNIUS UNIVERSITY</w:t>
      </w:r>
    </w:p>
    <w:p w:rsidR="0075459B" w:rsidRDefault="0075459B">
      <w:pPr>
        <w:tabs>
          <w:tab w:val="left" w:pos="1843"/>
        </w:tabs>
        <w:spacing w:after="120"/>
        <w:jc w:val="center"/>
        <w:rPr>
          <w:rFonts w:ascii="Arial" w:hAnsi="Arial" w:cs="Arial"/>
          <w:b/>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5"/>
        <w:gridCol w:w="1984"/>
        <w:gridCol w:w="1843"/>
      </w:tblGrid>
      <w:tr w:rsidR="009065B8" w:rsidRPr="009065B8" w:rsidTr="009065B8">
        <w:tblPrEx>
          <w:tblCellMar>
            <w:top w:w="0" w:type="dxa"/>
            <w:bottom w:w="0" w:type="dxa"/>
          </w:tblCellMar>
        </w:tblPrEx>
        <w:tc>
          <w:tcPr>
            <w:tcW w:w="3510" w:type="dxa"/>
            <w:shd w:val="clear" w:color="auto" w:fill="F2F2F2"/>
            <w:vAlign w:val="center"/>
          </w:tcPr>
          <w:p w:rsidR="009065B8" w:rsidRPr="009065B8" w:rsidRDefault="00DF060D" w:rsidP="009065B8">
            <w:pPr>
              <w:jc w:val="center"/>
              <w:rPr>
                <w:rFonts w:ascii="Arial" w:hAnsi="Arial" w:cs="Arial"/>
                <w:b/>
                <w:lang w:val="lt-LT"/>
              </w:rPr>
            </w:pPr>
            <w:r w:rsidRPr="00DF060D">
              <w:rPr>
                <w:rFonts w:ascii="Arial" w:hAnsi="Arial" w:cs="Arial"/>
                <w:b/>
                <w:lang w:val="lt-LT"/>
              </w:rPr>
              <w:t>Course Title</w:t>
            </w:r>
          </w:p>
        </w:tc>
        <w:tc>
          <w:tcPr>
            <w:tcW w:w="1985" w:type="dxa"/>
            <w:shd w:val="clear" w:color="auto" w:fill="F2F2F2"/>
            <w:vAlign w:val="center"/>
          </w:tcPr>
          <w:p w:rsidR="009065B8" w:rsidRPr="009065B8" w:rsidRDefault="0075459B" w:rsidP="009065B8">
            <w:pPr>
              <w:jc w:val="center"/>
              <w:rPr>
                <w:rFonts w:ascii="Arial" w:hAnsi="Arial" w:cs="Arial"/>
                <w:b/>
                <w:lang w:val="lt-LT"/>
              </w:rPr>
            </w:pPr>
            <w:r>
              <w:rPr>
                <w:rFonts w:ascii="Arial" w:hAnsi="Arial" w:cs="Arial"/>
                <w:b/>
                <w:lang w:val="lt-LT"/>
              </w:rPr>
              <w:t>Scientific Area/Field</w:t>
            </w:r>
          </w:p>
        </w:tc>
        <w:tc>
          <w:tcPr>
            <w:tcW w:w="1984" w:type="dxa"/>
            <w:shd w:val="clear" w:color="auto" w:fill="F2F2F2"/>
            <w:vAlign w:val="center"/>
          </w:tcPr>
          <w:p w:rsidR="009065B8" w:rsidRPr="009065B8" w:rsidRDefault="0075459B" w:rsidP="009065B8">
            <w:pPr>
              <w:jc w:val="center"/>
              <w:rPr>
                <w:rFonts w:ascii="Arial" w:hAnsi="Arial" w:cs="Arial"/>
                <w:b/>
                <w:lang w:val="lt-LT"/>
              </w:rPr>
            </w:pPr>
            <w:r w:rsidRPr="0075459B">
              <w:rPr>
                <w:rFonts w:ascii="Arial" w:hAnsi="Arial" w:cs="Arial"/>
                <w:b/>
                <w:lang w:val="lt-LT"/>
              </w:rPr>
              <w:t>Faculty</w:t>
            </w:r>
            <w:r>
              <w:rPr>
                <w:rFonts w:ascii="Arial" w:hAnsi="Arial" w:cs="Arial"/>
                <w:b/>
                <w:lang w:val="lt-LT"/>
              </w:rPr>
              <w:t>/</w:t>
            </w:r>
            <w:r w:rsidRPr="0075459B">
              <w:rPr>
                <w:rFonts w:ascii="Arial" w:hAnsi="Arial" w:cs="Arial"/>
                <w:b/>
                <w:lang w:val="lt-LT"/>
              </w:rPr>
              <w:t>Institute</w:t>
            </w:r>
          </w:p>
        </w:tc>
        <w:tc>
          <w:tcPr>
            <w:tcW w:w="1843" w:type="dxa"/>
            <w:shd w:val="clear" w:color="auto" w:fill="F2F2F2"/>
            <w:vAlign w:val="center"/>
          </w:tcPr>
          <w:p w:rsidR="009065B8" w:rsidRPr="009065B8" w:rsidRDefault="0075459B" w:rsidP="009065B8">
            <w:pPr>
              <w:jc w:val="center"/>
              <w:rPr>
                <w:rFonts w:ascii="Arial" w:hAnsi="Arial" w:cs="Arial"/>
                <w:b/>
                <w:lang w:val="lt-LT"/>
              </w:rPr>
            </w:pPr>
            <w:r>
              <w:rPr>
                <w:rFonts w:ascii="Arial" w:hAnsi="Arial" w:cs="Arial"/>
                <w:b/>
                <w:lang w:val="lt-LT"/>
              </w:rPr>
              <w:t>Department</w:t>
            </w:r>
          </w:p>
        </w:tc>
      </w:tr>
      <w:tr w:rsidR="009065B8" w:rsidRPr="009065B8" w:rsidTr="009065B8">
        <w:tblPrEx>
          <w:tblCellMar>
            <w:top w:w="0" w:type="dxa"/>
            <w:bottom w:w="0" w:type="dxa"/>
          </w:tblCellMar>
        </w:tblPrEx>
        <w:tc>
          <w:tcPr>
            <w:tcW w:w="3510" w:type="dxa"/>
            <w:vAlign w:val="center"/>
          </w:tcPr>
          <w:p w:rsidR="009065B8" w:rsidRPr="00FE5FAD" w:rsidRDefault="009065B8" w:rsidP="009065B8">
            <w:pPr>
              <w:rPr>
                <w:rFonts w:ascii="Arial" w:hAnsi="Arial" w:cs="Arial"/>
                <w:b/>
                <w:lang w:val="lt-LT"/>
              </w:rPr>
            </w:pPr>
          </w:p>
          <w:p w:rsidR="00E60FDB" w:rsidRDefault="00DF060D" w:rsidP="0056629A">
            <w:pPr>
              <w:rPr>
                <w:rFonts w:ascii="Arial" w:hAnsi="Arial" w:cs="Arial"/>
                <w:b/>
                <w:lang w:val="en-US"/>
              </w:rPr>
            </w:pPr>
            <w:r w:rsidRPr="00DF060D">
              <w:rPr>
                <w:rFonts w:ascii="Arial" w:hAnsi="Arial" w:cs="Arial"/>
                <w:b/>
                <w:lang w:val="en-US"/>
              </w:rPr>
              <w:t>Academic Writing</w:t>
            </w:r>
          </w:p>
          <w:p w:rsidR="00DF060D" w:rsidRPr="00FE5FAD" w:rsidRDefault="00DF060D" w:rsidP="0056629A">
            <w:pPr>
              <w:rPr>
                <w:rFonts w:ascii="Arial" w:hAnsi="Arial" w:cs="Arial"/>
                <w:b/>
                <w:lang w:val="lt-LT"/>
              </w:rPr>
            </w:pPr>
          </w:p>
        </w:tc>
        <w:tc>
          <w:tcPr>
            <w:tcW w:w="1985" w:type="dxa"/>
            <w:vAlign w:val="center"/>
          </w:tcPr>
          <w:p w:rsidR="009065B8" w:rsidRPr="00FE5FAD" w:rsidRDefault="00387617" w:rsidP="009065B8">
            <w:pPr>
              <w:jc w:val="center"/>
              <w:rPr>
                <w:rFonts w:ascii="Arial" w:hAnsi="Arial" w:cs="Arial"/>
                <w:lang w:val="lt-LT"/>
              </w:rPr>
            </w:pPr>
            <w:r w:rsidRPr="00FE5FAD">
              <w:rPr>
                <w:rFonts w:ascii="Arial" w:hAnsi="Arial" w:cs="Arial"/>
                <w:lang w:val="lt-LT"/>
              </w:rPr>
              <w:t>C</w:t>
            </w:r>
            <w:r w:rsidR="0075459B">
              <w:rPr>
                <w:rFonts w:ascii="Arial" w:hAnsi="Arial" w:cs="Arial"/>
                <w:lang w:val="lt-LT"/>
              </w:rPr>
              <w:t>hemistry</w:t>
            </w:r>
            <w:r w:rsidRPr="00FE5FAD">
              <w:rPr>
                <w:rFonts w:ascii="Arial" w:hAnsi="Arial" w:cs="Arial"/>
                <w:lang w:val="lt-LT"/>
              </w:rPr>
              <w:t xml:space="preserve"> N 003</w:t>
            </w:r>
          </w:p>
        </w:tc>
        <w:tc>
          <w:tcPr>
            <w:tcW w:w="1984" w:type="dxa"/>
            <w:vAlign w:val="center"/>
          </w:tcPr>
          <w:p w:rsidR="009065B8" w:rsidRPr="00FE5FAD" w:rsidRDefault="0056629A" w:rsidP="009065B8">
            <w:pPr>
              <w:jc w:val="center"/>
              <w:rPr>
                <w:rFonts w:ascii="Arial" w:hAnsi="Arial" w:cs="Arial"/>
                <w:lang w:val="lt-LT"/>
              </w:rPr>
            </w:pPr>
            <w:r w:rsidRPr="00FE5FAD">
              <w:rPr>
                <w:rFonts w:ascii="Arial" w:hAnsi="Arial" w:cs="Arial"/>
                <w:lang w:val="lt-LT"/>
              </w:rPr>
              <w:t>CHGF</w:t>
            </w:r>
            <w:r w:rsidR="000D08A5" w:rsidRPr="00FE5FAD">
              <w:rPr>
                <w:rFonts w:ascii="Arial" w:hAnsi="Arial" w:cs="Arial"/>
                <w:lang w:val="lt-LT"/>
              </w:rPr>
              <w:t xml:space="preserve"> </w:t>
            </w:r>
            <w:r w:rsidR="0075459B">
              <w:rPr>
                <w:rFonts w:ascii="Arial" w:hAnsi="Arial" w:cs="Arial"/>
                <w:lang w:val="lt-LT"/>
              </w:rPr>
              <w:t>Institute of Chemistry</w:t>
            </w:r>
          </w:p>
        </w:tc>
        <w:tc>
          <w:tcPr>
            <w:tcW w:w="1843" w:type="dxa"/>
            <w:vAlign w:val="center"/>
          </w:tcPr>
          <w:p w:rsidR="009065B8" w:rsidRPr="00FE5FAD" w:rsidRDefault="0075459B" w:rsidP="0056629A">
            <w:pPr>
              <w:jc w:val="center"/>
              <w:rPr>
                <w:rFonts w:ascii="Arial" w:hAnsi="Arial" w:cs="Arial"/>
                <w:lang w:val="lt-LT"/>
              </w:rPr>
            </w:pPr>
            <w:r>
              <w:rPr>
                <w:rFonts w:ascii="Arial" w:hAnsi="Arial" w:cs="Arial"/>
                <w:lang w:val="lt-LT"/>
              </w:rPr>
              <w:t>Department of Applied Chemistry</w:t>
            </w:r>
          </w:p>
        </w:tc>
      </w:tr>
      <w:tr w:rsidR="009065B8" w:rsidRPr="009065B8" w:rsidTr="009065B8">
        <w:tblPrEx>
          <w:tblCellMar>
            <w:top w:w="0" w:type="dxa"/>
            <w:bottom w:w="0" w:type="dxa"/>
          </w:tblCellMar>
        </w:tblPrEx>
        <w:tc>
          <w:tcPr>
            <w:tcW w:w="3510" w:type="dxa"/>
            <w:shd w:val="clear" w:color="auto" w:fill="F2F2F2"/>
            <w:vAlign w:val="center"/>
          </w:tcPr>
          <w:p w:rsidR="009065B8" w:rsidRPr="00FE5FAD" w:rsidRDefault="0075459B" w:rsidP="009065B8">
            <w:pPr>
              <w:jc w:val="center"/>
              <w:rPr>
                <w:rFonts w:ascii="Arial" w:hAnsi="Arial" w:cs="Arial"/>
                <w:b/>
                <w:lang w:val="lt-LT"/>
              </w:rPr>
            </w:pPr>
            <w:r>
              <w:rPr>
                <w:rFonts w:ascii="Arial" w:hAnsi="Arial" w:cs="Arial"/>
                <w:b/>
                <w:lang w:val="lt-LT"/>
              </w:rPr>
              <w:t>Study method</w:t>
            </w:r>
          </w:p>
        </w:tc>
        <w:tc>
          <w:tcPr>
            <w:tcW w:w="1985" w:type="dxa"/>
            <w:shd w:val="clear" w:color="auto" w:fill="F2F2F2"/>
            <w:vAlign w:val="center"/>
          </w:tcPr>
          <w:p w:rsidR="009065B8" w:rsidRPr="00FE5FAD" w:rsidRDefault="0075459B" w:rsidP="0059419A">
            <w:pPr>
              <w:jc w:val="center"/>
              <w:rPr>
                <w:rFonts w:ascii="Arial" w:hAnsi="Arial" w:cs="Arial"/>
                <w:b/>
                <w:lang w:val="lt-LT"/>
              </w:rPr>
            </w:pPr>
            <w:r>
              <w:rPr>
                <w:rFonts w:ascii="Arial" w:hAnsi="Arial" w:cs="Arial"/>
                <w:b/>
                <w:lang w:val="lt-LT"/>
              </w:rPr>
              <w:t>ECTS credits</w:t>
            </w:r>
          </w:p>
        </w:tc>
        <w:tc>
          <w:tcPr>
            <w:tcW w:w="1984" w:type="dxa"/>
            <w:shd w:val="clear" w:color="auto" w:fill="F2F2F2"/>
            <w:vAlign w:val="center"/>
          </w:tcPr>
          <w:p w:rsidR="009065B8" w:rsidRPr="00FE5FAD" w:rsidRDefault="0075459B" w:rsidP="009065B8">
            <w:pPr>
              <w:jc w:val="center"/>
              <w:rPr>
                <w:rFonts w:ascii="Arial" w:hAnsi="Arial" w:cs="Arial"/>
                <w:b/>
                <w:lang w:val="lt-LT"/>
              </w:rPr>
            </w:pPr>
            <w:r>
              <w:rPr>
                <w:rFonts w:ascii="Arial" w:hAnsi="Arial" w:cs="Arial"/>
                <w:b/>
                <w:lang w:val="lt-LT"/>
              </w:rPr>
              <w:t>Study methods</w:t>
            </w:r>
          </w:p>
        </w:tc>
        <w:tc>
          <w:tcPr>
            <w:tcW w:w="1843" w:type="dxa"/>
            <w:shd w:val="clear" w:color="auto" w:fill="F2F2F2"/>
            <w:vAlign w:val="center"/>
          </w:tcPr>
          <w:p w:rsidR="009065B8" w:rsidRPr="00FE5FAD" w:rsidRDefault="0075459B" w:rsidP="009065B8">
            <w:pPr>
              <w:jc w:val="center"/>
              <w:rPr>
                <w:rFonts w:ascii="Arial" w:hAnsi="Arial" w:cs="Arial"/>
                <w:b/>
                <w:lang w:val="lt-LT"/>
              </w:rPr>
            </w:pPr>
            <w:r>
              <w:rPr>
                <w:rFonts w:ascii="Arial" w:hAnsi="Arial" w:cs="Arial"/>
                <w:b/>
                <w:lang w:val="lt-LT"/>
              </w:rPr>
              <w:t>ECTS credits</w:t>
            </w:r>
          </w:p>
        </w:tc>
      </w:tr>
      <w:tr w:rsidR="009065B8" w:rsidRPr="009065B8" w:rsidTr="00387617">
        <w:tblPrEx>
          <w:tblCellMar>
            <w:top w:w="0" w:type="dxa"/>
            <w:bottom w:w="0" w:type="dxa"/>
          </w:tblCellMar>
        </w:tblPrEx>
        <w:tc>
          <w:tcPr>
            <w:tcW w:w="3510" w:type="dxa"/>
          </w:tcPr>
          <w:p w:rsidR="009065B8" w:rsidRPr="00FE5FAD" w:rsidRDefault="0075459B" w:rsidP="006B4475">
            <w:pPr>
              <w:rPr>
                <w:rFonts w:ascii="Arial" w:hAnsi="Arial" w:cs="Arial"/>
                <w:lang w:val="lt-LT"/>
              </w:rPr>
            </w:pPr>
            <w:r>
              <w:rPr>
                <w:rFonts w:ascii="Arial" w:hAnsi="Arial" w:cs="Arial"/>
                <w:lang w:val="lt-LT"/>
              </w:rPr>
              <w:t>Lecture</w:t>
            </w:r>
          </w:p>
        </w:tc>
        <w:tc>
          <w:tcPr>
            <w:tcW w:w="1985" w:type="dxa"/>
            <w:vAlign w:val="center"/>
          </w:tcPr>
          <w:p w:rsidR="009065B8" w:rsidRPr="00FE5FAD" w:rsidRDefault="00A35093" w:rsidP="00387617">
            <w:pPr>
              <w:jc w:val="center"/>
              <w:rPr>
                <w:rFonts w:ascii="Arial" w:hAnsi="Arial" w:cs="Arial"/>
                <w:lang w:val="lt-LT"/>
              </w:rPr>
            </w:pPr>
            <w:r w:rsidRPr="00FE5FAD">
              <w:rPr>
                <w:rFonts w:ascii="Arial" w:hAnsi="Arial" w:cs="Arial"/>
                <w:lang w:val="lt-LT"/>
              </w:rPr>
              <w:t>2</w:t>
            </w:r>
          </w:p>
        </w:tc>
        <w:tc>
          <w:tcPr>
            <w:tcW w:w="1984" w:type="dxa"/>
          </w:tcPr>
          <w:p w:rsidR="009065B8" w:rsidRPr="00FE5FAD" w:rsidRDefault="0075459B" w:rsidP="006B4475">
            <w:pPr>
              <w:rPr>
                <w:rFonts w:ascii="Arial" w:hAnsi="Arial" w:cs="Arial"/>
                <w:lang w:val="lt-LT"/>
              </w:rPr>
            </w:pPr>
            <w:r>
              <w:rPr>
                <w:rFonts w:ascii="Arial" w:hAnsi="Arial" w:cs="Arial"/>
                <w:lang w:val="lt-LT"/>
              </w:rPr>
              <w:t>Consultations</w:t>
            </w:r>
          </w:p>
        </w:tc>
        <w:tc>
          <w:tcPr>
            <w:tcW w:w="1843" w:type="dxa"/>
            <w:vAlign w:val="center"/>
          </w:tcPr>
          <w:p w:rsidR="009065B8" w:rsidRPr="00FE5FAD" w:rsidRDefault="009065B8" w:rsidP="00387617">
            <w:pPr>
              <w:jc w:val="center"/>
              <w:rPr>
                <w:rFonts w:ascii="Arial" w:hAnsi="Arial" w:cs="Arial"/>
                <w:lang w:val="lt-LT"/>
              </w:rPr>
            </w:pPr>
          </w:p>
        </w:tc>
      </w:tr>
      <w:tr w:rsidR="009065B8" w:rsidRPr="009065B8" w:rsidTr="00387617">
        <w:tblPrEx>
          <w:tblCellMar>
            <w:top w:w="0" w:type="dxa"/>
            <w:bottom w:w="0" w:type="dxa"/>
          </w:tblCellMar>
        </w:tblPrEx>
        <w:tc>
          <w:tcPr>
            <w:tcW w:w="3510" w:type="dxa"/>
          </w:tcPr>
          <w:p w:rsidR="009065B8" w:rsidRPr="00FE5FAD" w:rsidRDefault="0075459B" w:rsidP="006B4475">
            <w:pPr>
              <w:rPr>
                <w:rFonts w:ascii="Arial" w:hAnsi="Arial" w:cs="Arial"/>
                <w:lang w:val="lt-LT"/>
              </w:rPr>
            </w:pPr>
            <w:r>
              <w:rPr>
                <w:rFonts w:ascii="Arial" w:hAnsi="Arial" w:cs="Arial"/>
                <w:lang w:val="lt-LT"/>
              </w:rPr>
              <w:t>Self-study</w:t>
            </w:r>
          </w:p>
        </w:tc>
        <w:tc>
          <w:tcPr>
            <w:tcW w:w="1985" w:type="dxa"/>
            <w:vAlign w:val="center"/>
          </w:tcPr>
          <w:p w:rsidR="009065B8" w:rsidRPr="00FE5FAD" w:rsidRDefault="009065B8" w:rsidP="00387617">
            <w:pPr>
              <w:jc w:val="center"/>
              <w:rPr>
                <w:rFonts w:ascii="Arial" w:hAnsi="Arial" w:cs="Arial"/>
                <w:lang w:val="lt-LT"/>
              </w:rPr>
            </w:pPr>
          </w:p>
        </w:tc>
        <w:tc>
          <w:tcPr>
            <w:tcW w:w="1984" w:type="dxa"/>
          </w:tcPr>
          <w:p w:rsidR="009065B8" w:rsidRPr="00FE5FAD" w:rsidRDefault="0075459B" w:rsidP="006B4475">
            <w:pPr>
              <w:rPr>
                <w:rFonts w:ascii="Arial" w:hAnsi="Arial" w:cs="Arial"/>
                <w:lang w:val="lt-LT"/>
              </w:rPr>
            </w:pPr>
            <w:r>
              <w:rPr>
                <w:rFonts w:ascii="Arial" w:hAnsi="Arial" w:cs="Arial"/>
                <w:lang w:val="lt-LT"/>
              </w:rPr>
              <w:t>Seminars</w:t>
            </w:r>
          </w:p>
        </w:tc>
        <w:tc>
          <w:tcPr>
            <w:tcW w:w="1843" w:type="dxa"/>
            <w:vAlign w:val="center"/>
          </w:tcPr>
          <w:p w:rsidR="009065B8" w:rsidRPr="00FE5FAD" w:rsidRDefault="00A35093" w:rsidP="00387617">
            <w:pPr>
              <w:jc w:val="center"/>
              <w:rPr>
                <w:rFonts w:ascii="Arial" w:hAnsi="Arial" w:cs="Arial"/>
                <w:lang w:val="lt-LT"/>
              </w:rPr>
            </w:pPr>
            <w:r w:rsidRPr="00FE5FAD">
              <w:rPr>
                <w:rFonts w:ascii="Arial" w:hAnsi="Arial" w:cs="Arial"/>
                <w:lang w:val="lt-LT"/>
              </w:rPr>
              <w:t>1</w:t>
            </w:r>
          </w:p>
        </w:tc>
      </w:tr>
    </w:tbl>
    <w:p w:rsidR="002D3C12" w:rsidRPr="009065B8" w:rsidRDefault="002D3C12">
      <w:pPr>
        <w:rPr>
          <w:rFonts w:ascii="Arial" w:hAnsi="Arial" w:cs="Arial"/>
          <w:lang w:val="lt-LT"/>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2D3C12" w:rsidRPr="009065B8" w:rsidTr="002F06EA">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shd w:val="clear" w:color="auto" w:fill="F2F2F2"/>
          </w:tcPr>
          <w:p w:rsidR="002D3C12" w:rsidRPr="00387617" w:rsidRDefault="00DF060D">
            <w:pPr>
              <w:rPr>
                <w:rFonts w:ascii="Arial" w:hAnsi="Arial" w:cs="Arial"/>
                <w:b/>
                <w:lang w:val="lt-LT"/>
              </w:rPr>
            </w:pPr>
            <w:r w:rsidRPr="00DF060D">
              <w:rPr>
                <w:rFonts w:ascii="Arial" w:hAnsi="Arial" w:cs="Arial"/>
                <w:b/>
              </w:rPr>
              <w:t>Course Description</w:t>
            </w:r>
          </w:p>
        </w:tc>
      </w:tr>
      <w:tr w:rsidR="002D3C12" w:rsidRPr="00FE5FAD" w:rsidTr="002F06EA">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vAlign w:val="center"/>
          </w:tcPr>
          <w:p w:rsidR="00DF060D" w:rsidRPr="00DF060D" w:rsidRDefault="00DF060D" w:rsidP="00DF060D">
            <w:pPr>
              <w:pStyle w:val="ListParagraph"/>
              <w:ind w:left="0"/>
              <w:jc w:val="both"/>
              <w:rPr>
                <w:rFonts w:ascii="Arial" w:hAnsi="Arial" w:cs="Arial"/>
                <w:sz w:val="20"/>
                <w:szCs w:val="20"/>
              </w:rPr>
            </w:pPr>
            <w:r w:rsidRPr="00DF060D">
              <w:rPr>
                <w:rFonts w:ascii="Arial" w:hAnsi="Arial" w:cs="Arial"/>
                <w:sz w:val="20"/>
                <w:szCs w:val="20"/>
              </w:rPr>
              <w:t>Preparation of scientific presentations (oral and poster). Oral presentations (preparation of various oral presentations, conference presentations, preparation of popular science presentations, preparation for doctoral progress reviews, presentation of articles in laboratory meetings, lecturing, preparation of "lightning" talks). Preparation of visually organised slides (discussion of slide design, evaluation and improvement of doctoral students' slides). Poster presentations (preparation of posters for on-site and remote conferences, use and adaptation of software and templates). Distance learning (time management, maintaining motivation, participation in remote meetings and seminars, presenting reports remotely, moderating remote webinars). Preparation for public speaking (stress management during presentations, body language, importance of intonation, preparing for Q&amp;A sessions, evaluating and accepting criticism). Personal branding (CV writing, self-presentation for scholarship applications, preparation of bio-data, and responsible use of social media platforms).</w:t>
            </w:r>
          </w:p>
          <w:p w:rsidR="00DF060D" w:rsidRPr="00DF060D" w:rsidRDefault="00DF060D" w:rsidP="00DF060D">
            <w:pPr>
              <w:pStyle w:val="ListParagraph"/>
              <w:ind w:left="0"/>
              <w:jc w:val="both"/>
              <w:rPr>
                <w:rFonts w:ascii="Arial" w:hAnsi="Arial" w:cs="Arial"/>
                <w:sz w:val="20"/>
                <w:szCs w:val="20"/>
              </w:rPr>
            </w:pPr>
            <w:r w:rsidRPr="00DF060D">
              <w:rPr>
                <w:rFonts w:ascii="Arial" w:hAnsi="Arial" w:cs="Arial"/>
                <w:sz w:val="20"/>
                <w:szCs w:val="20"/>
              </w:rPr>
              <w:t>Preparation of scientific articles. Ethics in scientific research. Preparation of research project proposals.</w:t>
            </w:r>
          </w:p>
          <w:p w:rsidR="002D3C12" w:rsidRPr="00FE5FAD" w:rsidRDefault="00DF060D" w:rsidP="00DF060D">
            <w:pPr>
              <w:jc w:val="both"/>
              <w:rPr>
                <w:rFonts w:ascii="Arial" w:hAnsi="Arial" w:cs="Arial"/>
              </w:rPr>
            </w:pPr>
            <w:r w:rsidRPr="00DF060D">
              <w:rPr>
                <w:rFonts w:ascii="Arial" w:hAnsi="Arial" w:cs="Arial"/>
              </w:rPr>
              <w:t>Nomenclature of inorganic compounds. Nomenclature of organic compounds. Nomenclature of complex compounds. Common language errors. Requirements for document preparation. Vocabulary errors, loanwords, and incorrect compound words.</w:t>
            </w:r>
          </w:p>
        </w:tc>
      </w:tr>
      <w:tr w:rsidR="002D3C12" w:rsidRPr="00FE5FAD" w:rsidTr="002F06EA">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shd w:val="clear" w:color="auto" w:fill="F2F2F2"/>
          </w:tcPr>
          <w:p w:rsidR="002D3C12" w:rsidRPr="00FE5FAD" w:rsidRDefault="00DF060D">
            <w:pPr>
              <w:rPr>
                <w:rFonts w:ascii="Arial" w:hAnsi="Arial" w:cs="Arial"/>
                <w:b/>
                <w:lang w:val="lt-LT"/>
              </w:rPr>
            </w:pPr>
            <w:r w:rsidRPr="00DF060D">
              <w:rPr>
                <w:rFonts w:ascii="Arial" w:hAnsi="Arial" w:cs="Arial"/>
                <w:b/>
              </w:rPr>
              <w:t>Basic Bibliography</w:t>
            </w:r>
          </w:p>
        </w:tc>
      </w:tr>
      <w:tr w:rsidR="002D3C12" w:rsidRPr="00FE5FAD" w:rsidTr="002F06EA">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vAlign w:val="center"/>
          </w:tcPr>
          <w:p w:rsidR="003020A6" w:rsidRPr="00F5586B" w:rsidRDefault="003020A6" w:rsidP="003020A6">
            <w:pPr>
              <w:numPr>
                <w:ilvl w:val="0"/>
                <w:numId w:val="11"/>
              </w:numPr>
              <w:tabs>
                <w:tab w:val="left" w:pos="284"/>
              </w:tabs>
              <w:autoSpaceDE w:val="0"/>
              <w:autoSpaceDN w:val="0"/>
              <w:jc w:val="both"/>
              <w:rPr>
                <w:rFonts w:ascii="Arial" w:hAnsi="Arial" w:cs="Arial"/>
              </w:rPr>
            </w:pPr>
            <w:r w:rsidRPr="00F5586B">
              <w:rPr>
                <w:rFonts w:ascii="Arial" w:hAnsi="Arial" w:cs="Arial"/>
              </w:rPr>
              <w:t>https://hbr.org/</w:t>
            </w:r>
          </w:p>
          <w:p w:rsidR="00BD6403" w:rsidRPr="00F5586B" w:rsidRDefault="00BD6403" w:rsidP="00BD6403">
            <w:pPr>
              <w:numPr>
                <w:ilvl w:val="0"/>
                <w:numId w:val="11"/>
              </w:numPr>
              <w:rPr>
                <w:rFonts w:ascii="Arial" w:hAnsi="Arial" w:cs="Arial"/>
                <w:lang w:val="lt-LT"/>
              </w:rPr>
            </w:pPr>
            <w:r w:rsidRPr="00F5586B">
              <w:rPr>
                <w:rFonts w:ascii="Arial" w:hAnsi="Arial" w:cs="Arial"/>
                <w:lang w:val="lt-LT"/>
              </w:rPr>
              <w:t xml:space="preserve">Barbara Gastel and Robert A. Day „How to Write and Publish a Scientific Paper“ 2016, 8th Ed Greenwood. </w:t>
            </w:r>
          </w:p>
          <w:p w:rsidR="00BD6403" w:rsidRPr="00F5586B" w:rsidRDefault="00BD6403" w:rsidP="00BD6403">
            <w:pPr>
              <w:numPr>
                <w:ilvl w:val="0"/>
                <w:numId w:val="11"/>
              </w:numPr>
              <w:tabs>
                <w:tab w:val="left" w:pos="284"/>
              </w:tabs>
              <w:autoSpaceDE w:val="0"/>
              <w:autoSpaceDN w:val="0"/>
              <w:ind w:left="284" w:hanging="284"/>
              <w:jc w:val="both"/>
              <w:rPr>
                <w:rFonts w:ascii="Arial" w:hAnsi="Arial" w:cs="Arial"/>
              </w:rPr>
            </w:pPr>
            <w:r w:rsidRPr="00F5586B">
              <w:rPr>
                <w:rFonts w:ascii="Arial" w:hAnsi="Arial" w:cs="Arial"/>
                <w:lang w:val="lt-LT"/>
              </w:rPr>
              <w:t xml:space="preserve">„Guidlines for Research Ethics in Science and Technology“ The Norwegian National Research Ethics Committees, 2016 </w:t>
            </w:r>
            <w:r w:rsidRPr="00F5586B">
              <w:rPr>
                <w:rFonts w:ascii="Arial" w:hAnsi="Arial" w:cs="Arial"/>
              </w:rPr>
              <w:t>ISBN: 978-82-7682-075-1.</w:t>
            </w:r>
          </w:p>
          <w:p w:rsidR="0056749F" w:rsidRPr="00F5586B" w:rsidRDefault="0056749F" w:rsidP="0056749F">
            <w:pPr>
              <w:numPr>
                <w:ilvl w:val="0"/>
                <w:numId w:val="11"/>
              </w:numPr>
              <w:tabs>
                <w:tab w:val="left" w:pos="284"/>
              </w:tabs>
              <w:autoSpaceDE w:val="0"/>
              <w:autoSpaceDN w:val="0"/>
              <w:jc w:val="both"/>
              <w:rPr>
                <w:rFonts w:ascii="Arial" w:hAnsi="Arial" w:cs="Arial"/>
              </w:rPr>
            </w:pPr>
            <w:hyperlink r:id="rId6" w:history="1">
              <w:r w:rsidRPr="00F5586B">
                <w:rPr>
                  <w:rStyle w:val="Hyperlink"/>
                  <w:rFonts w:ascii="Arial" w:hAnsi="Arial" w:cs="Arial"/>
                  <w:color w:val="auto"/>
                  <w:u w:val="none"/>
                </w:rPr>
                <w:t>https://ec.europa.eu/info/research-and-innovation/funding/funding-opportunities/funding-programmes-and-open-calls/horizon-europe_en</w:t>
              </w:r>
            </w:hyperlink>
          </w:p>
          <w:p w:rsidR="0056749F" w:rsidRPr="00F5586B" w:rsidRDefault="0056749F" w:rsidP="0056749F">
            <w:pPr>
              <w:numPr>
                <w:ilvl w:val="0"/>
                <w:numId w:val="11"/>
              </w:numPr>
              <w:tabs>
                <w:tab w:val="left" w:pos="284"/>
              </w:tabs>
              <w:autoSpaceDE w:val="0"/>
              <w:autoSpaceDN w:val="0"/>
              <w:jc w:val="both"/>
              <w:rPr>
                <w:rFonts w:ascii="Arial" w:hAnsi="Arial" w:cs="Arial"/>
              </w:rPr>
            </w:pPr>
            <w:hyperlink r:id="rId7" w:history="1">
              <w:r w:rsidRPr="00F5586B">
                <w:rPr>
                  <w:rStyle w:val="Hyperlink"/>
                  <w:rFonts w:ascii="Arial" w:hAnsi="Arial" w:cs="Arial"/>
                  <w:color w:val="auto"/>
                  <w:u w:val="none"/>
                </w:rPr>
                <w:t>https://www.lmt.lt/lt</w:t>
              </w:r>
            </w:hyperlink>
            <w:r w:rsidRPr="00F5586B">
              <w:rPr>
                <w:rFonts w:ascii="Arial" w:hAnsi="Arial" w:cs="Arial"/>
              </w:rPr>
              <w:t xml:space="preserve">, </w:t>
            </w:r>
            <w:hyperlink r:id="rId8" w:history="1">
              <w:r w:rsidRPr="00F5586B">
                <w:rPr>
                  <w:rStyle w:val="Hyperlink"/>
                  <w:rFonts w:ascii="Arial" w:hAnsi="Arial" w:cs="Arial"/>
                  <w:color w:val="auto"/>
                  <w:u w:val="none"/>
                </w:rPr>
                <w:t>https://www.esinvesticijos.lt/</w:t>
              </w:r>
            </w:hyperlink>
            <w:r w:rsidRPr="00F5586B">
              <w:rPr>
                <w:rFonts w:ascii="Arial" w:hAnsi="Arial" w:cs="Arial"/>
              </w:rPr>
              <w:t xml:space="preserve"> </w:t>
            </w:r>
          </w:p>
          <w:p w:rsidR="00F80CE6" w:rsidRPr="00F5586B" w:rsidRDefault="00F80CE6" w:rsidP="00BD6403">
            <w:pPr>
              <w:numPr>
                <w:ilvl w:val="0"/>
                <w:numId w:val="11"/>
              </w:numPr>
              <w:tabs>
                <w:tab w:val="left" w:pos="284"/>
              </w:tabs>
              <w:autoSpaceDE w:val="0"/>
              <w:autoSpaceDN w:val="0"/>
              <w:ind w:left="284" w:hanging="284"/>
              <w:jc w:val="both"/>
              <w:rPr>
                <w:rFonts w:ascii="Arial" w:hAnsi="Arial" w:cs="Arial"/>
              </w:rPr>
            </w:pPr>
            <w:r w:rsidRPr="00F5586B">
              <w:rPr>
                <w:rFonts w:ascii="Arial" w:hAnsi="Arial" w:cs="Arial"/>
                <w:lang w:val="en-US"/>
              </w:rPr>
              <w:t xml:space="preserve">A. Kareiva. </w:t>
            </w:r>
            <w:r w:rsidRPr="00F5586B">
              <w:rPr>
                <w:rFonts w:ascii="Arial" w:hAnsi="Arial" w:cs="Arial"/>
                <w:i/>
                <w:lang w:val="en-US"/>
              </w:rPr>
              <w:t>Kompleksinių junginių chemija</w:t>
            </w:r>
            <w:r w:rsidRPr="00F5586B">
              <w:rPr>
                <w:rFonts w:ascii="Arial" w:hAnsi="Arial" w:cs="Arial"/>
                <w:lang w:val="en-US"/>
              </w:rPr>
              <w:t xml:space="preserve">. Vilniaus universitetas, Vilnius, </w:t>
            </w:r>
            <w:r w:rsidRPr="00F5586B">
              <w:rPr>
                <w:rFonts w:ascii="Arial" w:hAnsi="Arial" w:cs="Arial"/>
              </w:rPr>
              <w:t xml:space="preserve">2008, 81 p. </w:t>
            </w:r>
          </w:p>
          <w:p w:rsidR="0056629A" w:rsidRPr="00FE5FAD" w:rsidRDefault="00F80CE6" w:rsidP="0056629A">
            <w:pPr>
              <w:numPr>
                <w:ilvl w:val="0"/>
                <w:numId w:val="11"/>
              </w:numPr>
              <w:tabs>
                <w:tab w:val="left" w:pos="284"/>
              </w:tabs>
              <w:autoSpaceDE w:val="0"/>
              <w:autoSpaceDN w:val="0"/>
              <w:ind w:left="284" w:hanging="284"/>
              <w:jc w:val="both"/>
              <w:rPr>
                <w:rFonts w:ascii="Arial" w:hAnsi="Arial" w:cs="Arial"/>
              </w:rPr>
            </w:pPr>
            <w:r w:rsidRPr="00F5586B">
              <w:rPr>
                <w:rFonts w:ascii="Arial" w:hAnsi="Arial" w:cs="Arial"/>
              </w:rPr>
              <w:t xml:space="preserve">K. Daukšas, J. Barkauskas, V. Daukšas, E. Daumantas, M. Kabailienė, A. Kareiva, Z. Mačionis, L. </w:t>
            </w:r>
            <w:proofErr w:type="gramStart"/>
            <w:r w:rsidRPr="00F5586B">
              <w:rPr>
                <w:rFonts w:ascii="Arial" w:hAnsi="Arial" w:cs="Arial"/>
              </w:rPr>
              <w:t>Naruškevičius,  S.</w:t>
            </w:r>
            <w:proofErr w:type="gramEnd"/>
            <w:r w:rsidRPr="00F5586B">
              <w:rPr>
                <w:rFonts w:ascii="Arial" w:hAnsi="Arial" w:cs="Arial"/>
              </w:rPr>
              <w:t xml:space="preserve"> Sasnauskienė, V. Skučas. </w:t>
            </w:r>
            <w:r w:rsidRPr="00F5586B">
              <w:rPr>
                <w:rFonts w:ascii="Arial" w:hAnsi="Arial" w:cs="Arial"/>
                <w:i/>
                <w:iCs/>
              </w:rPr>
              <w:t xml:space="preserve">Aiškinamasis chemijos terminų žodynas, Antrasis leidimas.  </w:t>
            </w:r>
            <w:r w:rsidRPr="00F5586B">
              <w:rPr>
                <w:rFonts w:ascii="Arial" w:hAnsi="Arial" w:cs="Arial"/>
              </w:rPr>
              <w:t>Mokslo ir enciklopedijų leidykla, Vilnius, 2003, 659 p.</w:t>
            </w:r>
            <w:r w:rsidRPr="00FE5FAD">
              <w:rPr>
                <w:rFonts w:ascii="Arial" w:hAnsi="Arial" w:cs="Arial"/>
              </w:rPr>
              <w:t xml:space="preserve">  </w:t>
            </w:r>
          </w:p>
        </w:tc>
      </w:tr>
    </w:tbl>
    <w:p w:rsidR="002D3C12" w:rsidRPr="00FE5FAD" w:rsidRDefault="002D3C12">
      <w:pPr>
        <w:rPr>
          <w:rFonts w:ascii="Arial" w:hAnsi="Arial" w:cs="Arial"/>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4678"/>
      </w:tblGrid>
      <w:tr w:rsidR="00D83738" w:rsidRPr="00FE5FAD" w:rsidTr="002F06EA">
        <w:tblPrEx>
          <w:tblCellMar>
            <w:top w:w="0" w:type="dxa"/>
            <w:bottom w:w="0" w:type="dxa"/>
          </w:tblCellMar>
        </w:tblPrEx>
        <w:tc>
          <w:tcPr>
            <w:tcW w:w="2943" w:type="dxa"/>
            <w:shd w:val="clear" w:color="auto" w:fill="F2F2F2"/>
          </w:tcPr>
          <w:p w:rsidR="00D83738" w:rsidRPr="00FE5FAD" w:rsidRDefault="0075459B">
            <w:pPr>
              <w:rPr>
                <w:rFonts w:ascii="Arial" w:hAnsi="Arial" w:cs="Arial"/>
                <w:b/>
                <w:lang w:val="lt-LT"/>
              </w:rPr>
            </w:pPr>
            <w:r>
              <w:rPr>
                <w:rFonts w:ascii="Arial" w:hAnsi="Arial" w:cs="Arial"/>
                <w:b/>
                <w:lang w:val="lt-LT"/>
              </w:rPr>
              <w:t>Consulting lecture Name, Surname</w:t>
            </w:r>
          </w:p>
        </w:tc>
        <w:tc>
          <w:tcPr>
            <w:tcW w:w="1701" w:type="dxa"/>
            <w:shd w:val="clear" w:color="auto" w:fill="F2F2F2"/>
            <w:vAlign w:val="center"/>
          </w:tcPr>
          <w:p w:rsidR="00D83738" w:rsidRPr="00FE5FAD" w:rsidRDefault="0075459B" w:rsidP="0059419A">
            <w:pPr>
              <w:jc w:val="center"/>
              <w:rPr>
                <w:rFonts w:ascii="Arial" w:hAnsi="Arial" w:cs="Arial"/>
                <w:b/>
                <w:lang w:val="lt-LT"/>
              </w:rPr>
            </w:pPr>
            <w:r>
              <w:rPr>
                <w:rFonts w:ascii="Arial" w:hAnsi="Arial" w:cs="Arial"/>
                <w:b/>
                <w:lang w:val="lt-LT"/>
              </w:rPr>
              <w:t>Scietific degree</w:t>
            </w:r>
          </w:p>
        </w:tc>
        <w:tc>
          <w:tcPr>
            <w:tcW w:w="4678" w:type="dxa"/>
            <w:shd w:val="clear" w:color="auto" w:fill="F2F2F2"/>
          </w:tcPr>
          <w:p w:rsidR="00D83738" w:rsidRPr="00FE5FAD" w:rsidRDefault="00DF060D">
            <w:pPr>
              <w:rPr>
                <w:rFonts w:ascii="Arial" w:hAnsi="Arial" w:cs="Arial"/>
                <w:b/>
                <w:lang w:val="lt-LT"/>
              </w:rPr>
            </w:pPr>
            <w:r w:rsidRPr="00DF060D">
              <w:rPr>
                <w:rFonts w:ascii="Arial" w:hAnsi="Arial" w:cs="Arial"/>
                <w:b/>
                <w:lang w:val="lt-LT"/>
              </w:rPr>
              <w:t>Most significant publications in the research field (branch) over the last 5 years</w:t>
            </w:r>
          </w:p>
        </w:tc>
      </w:tr>
      <w:tr w:rsidR="00E60FDB" w:rsidRPr="00FE5FAD" w:rsidTr="002F06EA">
        <w:tblPrEx>
          <w:tblCellMar>
            <w:top w:w="0" w:type="dxa"/>
            <w:bottom w:w="0" w:type="dxa"/>
          </w:tblCellMar>
        </w:tblPrEx>
        <w:tc>
          <w:tcPr>
            <w:tcW w:w="2943" w:type="dxa"/>
            <w:vAlign w:val="center"/>
          </w:tcPr>
          <w:p w:rsidR="00E60FDB" w:rsidRPr="00FE5FAD" w:rsidRDefault="00E60FDB" w:rsidP="0059419A">
            <w:pPr>
              <w:rPr>
                <w:rFonts w:ascii="Arial" w:hAnsi="Arial" w:cs="Arial"/>
                <w:lang w:val="lt-LT"/>
              </w:rPr>
            </w:pPr>
            <w:r w:rsidRPr="00FE5FAD">
              <w:rPr>
                <w:rFonts w:ascii="Arial" w:hAnsi="Arial" w:cs="Arial"/>
                <w:lang w:val="lt-LT"/>
              </w:rPr>
              <w:t>Julija Grigorjevaitė</w:t>
            </w:r>
          </w:p>
        </w:tc>
        <w:tc>
          <w:tcPr>
            <w:tcW w:w="1701" w:type="dxa"/>
            <w:vAlign w:val="center"/>
          </w:tcPr>
          <w:p w:rsidR="00E60FDB" w:rsidRPr="00FE5FAD" w:rsidRDefault="0075459B" w:rsidP="00F80CE6">
            <w:pPr>
              <w:jc w:val="center"/>
              <w:rPr>
                <w:rFonts w:ascii="Arial" w:hAnsi="Arial" w:cs="Arial"/>
                <w:lang w:val="lt-LT"/>
              </w:rPr>
            </w:pPr>
            <w:r>
              <w:rPr>
                <w:rFonts w:ascii="Arial" w:hAnsi="Arial" w:cs="Arial"/>
                <w:lang w:val="lt-LT"/>
              </w:rPr>
              <w:t>PhD</w:t>
            </w:r>
          </w:p>
        </w:tc>
        <w:tc>
          <w:tcPr>
            <w:tcW w:w="4678" w:type="dxa"/>
            <w:vAlign w:val="center"/>
          </w:tcPr>
          <w:p w:rsidR="006F71D2" w:rsidRPr="00FE5FAD" w:rsidRDefault="006F71D2" w:rsidP="00FE5FAD">
            <w:pPr>
              <w:pStyle w:val="ListParagraph"/>
              <w:spacing w:line="259" w:lineRule="auto"/>
              <w:ind w:left="0"/>
              <w:jc w:val="both"/>
              <w:rPr>
                <w:rFonts w:ascii="Arial" w:hAnsi="Arial" w:cs="Arial"/>
                <w:sz w:val="20"/>
                <w:szCs w:val="20"/>
              </w:rPr>
            </w:pPr>
            <w:r w:rsidRPr="00FE5FAD">
              <w:rPr>
                <w:rFonts w:ascii="Arial" w:hAnsi="Arial" w:cs="Arial"/>
                <w:sz w:val="20"/>
                <w:szCs w:val="20"/>
              </w:rPr>
              <w:t>1. E. Ezerskyte, J. Grigorjevaite, A. Minderyte, S. Saitzek, A. Katelnikovas, „Temperature-Dependent Luminescence of Red-Emitting Ba</w:t>
            </w:r>
            <w:r w:rsidRPr="00FE5FAD">
              <w:rPr>
                <w:rFonts w:ascii="Arial" w:hAnsi="Arial" w:cs="Arial"/>
                <w:sz w:val="20"/>
                <w:szCs w:val="20"/>
                <w:vertAlign w:val="subscript"/>
              </w:rPr>
              <w:t>2</w:t>
            </w:r>
            <w:r w:rsidRPr="00FE5FAD">
              <w:rPr>
                <w:rFonts w:ascii="Arial" w:hAnsi="Arial" w:cs="Arial"/>
                <w:sz w:val="20"/>
                <w:szCs w:val="20"/>
              </w:rPr>
              <w:t>Y</w:t>
            </w:r>
            <w:r w:rsidRPr="00FE5FAD">
              <w:rPr>
                <w:rFonts w:ascii="Arial" w:hAnsi="Arial" w:cs="Arial"/>
                <w:sz w:val="20"/>
                <w:szCs w:val="20"/>
                <w:vertAlign w:val="subscript"/>
              </w:rPr>
              <w:t>5</w:t>
            </w:r>
            <w:r w:rsidRPr="00FE5FAD">
              <w:rPr>
                <w:rFonts w:ascii="Arial" w:hAnsi="Arial" w:cs="Arial"/>
                <w:sz w:val="20"/>
                <w:szCs w:val="20"/>
              </w:rPr>
              <w:t>B</w:t>
            </w:r>
            <w:r w:rsidRPr="00FE5FAD">
              <w:rPr>
                <w:rFonts w:ascii="Arial" w:hAnsi="Arial" w:cs="Arial"/>
                <w:sz w:val="20"/>
                <w:szCs w:val="20"/>
                <w:vertAlign w:val="subscript"/>
              </w:rPr>
              <w:t>5</w:t>
            </w:r>
            <w:r w:rsidRPr="00FE5FAD">
              <w:rPr>
                <w:rFonts w:ascii="Arial" w:hAnsi="Arial" w:cs="Arial"/>
                <w:sz w:val="20"/>
                <w:szCs w:val="20"/>
              </w:rPr>
              <w:t>O</w:t>
            </w:r>
            <w:r w:rsidRPr="00FE5FAD">
              <w:rPr>
                <w:rFonts w:ascii="Arial" w:hAnsi="Arial" w:cs="Arial"/>
                <w:sz w:val="20"/>
                <w:szCs w:val="20"/>
                <w:vertAlign w:val="subscript"/>
              </w:rPr>
              <w:t>17</w:t>
            </w:r>
            <w:r w:rsidRPr="00FE5FAD">
              <w:rPr>
                <w:rFonts w:ascii="Arial" w:hAnsi="Arial" w:cs="Arial"/>
                <w:sz w:val="20"/>
                <w:szCs w:val="20"/>
              </w:rPr>
              <w:t>: Eu</w:t>
            </w:r>
            <w:r w:rsidRPr="00FE5FAD">
              <w:rPr>
                <w:rFonts w:ascii="Arial" w:hAnsi="Arial" w:cs="Arial"/>
                <w:sz w:val="20"/>
                <w:szCs w:val="20"/>
                <w:vertAlign w:val="superscript"/>
              </w:rPr>
              <w:t>3+</w:t>
            </w:r>
            <w:r w:rsidRPr="00FE5FAD">
              <w:rPr>
                <w:rFonts w:ascii="Arial" w:hAnsi="Arial" w:cs="Arial"/>
                <w:sz w:val="20"/>
                <w:szCs w:val="20"/>
              </w:rPr>
              <w:t xml:space="preserve"> Phosphors with Effciencies Close to Unity for Near-UV LEDs“, Materials, 2020, 13, 763, (doi: 10.3390/ma13030763), Impact factor – 3.057 (Q2)</w:t>
            </w:r>
          </w:p>
          <w:p w:rsidR="006F71D2" w:rsidRPr="00FE5FAD" w:rsidRDefault="006F71D2" w:rsidP="00FE5FAD">
            <w:pPr>
              <w:pStyle w:val="ListParagraph"/>
              <w:spacing w:line="259" w:lineRule="auto"/>
              <w:ind w:left="0"/>
              <w:jc w:val="both"/>
              <w:rPr>
                <w:rFonts w:ascii="Arial" w:hAnsi="Arial" w:cs="Arial"/>
                <w:sz w:val="20"/>
                <w:szCs w:val="20"/>
              </w:rPr>
            </w:pPr>
            <w:r w:rsidRPr="00FE5FAD">
              <w:rPr>
                <w:rFonts w:ascii="Arial" w:hAnsi="Arial" w:cs="Arial"/>
                <w:sz w:val="20"/>
                <w:szCs w:val="20"/>
              </w:rPr>
              <w:t>2. J. Grigorjevaite, E. Ezerskyte, J. Paterek, S. Saitzek, A. Zabiliute-Karaliune, P. Vitta, D. Enseling, Th. Justel, A. Katelnikovas, „Luminescence and luminescence quenching of K</w:t>
            </w:r>
            <w:r w:rsidRPr="00FE5FAD">
              <w:rPr>
                <w:rFonts w:ascii="Arial" w:hAnsi="Arial" w:cs="Arial"/>
                <w:sz w:val="20"/>
                <w:szCs w:val="20"/>
                <w:vertAlign w:val="subscript"/>
              </w:rPr>
              <w:t>2</w:t>
            </w:r>
            <w:r w:rsidRPr="00FE5FAD">
              <w:rPr>
                <w:rFonts w:ascii="Arial" w:hAnsi="Arial" w:cs="Arial"/>
                <w:sz w:val="20"/>
                <w:szCs w:val="20"/>
              </w:rPr>
              <w:t>Bi(PO</w:t>
            </w:r>
            <w:r w:rsidRPr="00FE5FAD">
              <w:rPr>
                <w:rFonts w:ascii="Arial" w:hAnsi="Arial" w:cs="Arial"/>
                <w:sz w:val="20"/>
                <w:szCs w:val="20"/>
                <w:vertAlign w:val="subscript"/>
              </w:rPr>
              <w:t>4</w:t>
            </w:r>
            <w:r w:rsidRPr="00FE5FAD">
              <w:rPr>
                <w:rFonts w:ascii="Arial" w:hAnsi="Arial" w:cs="Arial"/>
                <w:sz w:val="20"/>
                <w:szCs w:val="20"/>
              </w:rPr>
              <w:t>)(MoO</w:t>
            </w:r>
            <w:r w:rsidRPr="00FE5FAD">
              <w:rPr>
                <w:rFonts w:ascii="Arial" w:hAnsi="Arial" w:cs="Arial"/>
                <w:sz w:val="20"/>
                <w:szCs w:val="20"/>
                <w:vertAlign w:val="subscript"/>
              </w:rPr>
              <w:t>4</w:t>
            </w:r>
            <w:r w:rsidRPr="00FE5FAD">
              <w:rPr>
                <w:rFonts w:ascii="Arial" w:hAnsi="Arial" w:cs="Arial"/>
                <w:sz w:val="20"/>
                <w:szCs w:val="20"/>
              </w:rPr>
              <w:t>):Sm</w:t>
            </w:r>
            <w:r w:rsidRPr="00FE5FAD">
              <w:rPr>
                <w:rFonts w:ascii="Arial" w:hAnsi="Arial" w:cs="Arial"/>
                <w:sz w:val="20"/>
                <w:szCs w:val="20"/>
                <w:vertAlign w:val="superscript"/>
              </w:rPr>
              <w:t>3+</w:t>
            </w:r>
            <w:r w:rsidRPr="00FE5FAD">
              <w:rPr>
                <w:rFonts w:ascii="Arial" w:hAnsi="Arial" w:cs="Arial"/>
                <w:sz w:val="20"/>
                <w:szCs w:val="20"/>
              </w:rPr>
              <w:t xml:space="preserve"> phosphors for horticultural and general lighting applications“, Materials Advances, RSC, 2020, 1, 1427, (doi: 10.1039/d0ma00369g).</w:t>
            </w:r>
          </w:p>
          <w:p w:rsidR="006F71D2" w:rsidRPr="00FE5FAD" w:rsidRDefault="006F71D2" w:rsidP="00FE5FAD">
            <w:pPr>
              <w:jc w:val="both"/>
              <w:rPr>
                <w:rFonts w:ascii="Arial" w:hAnsi="Arial" w:cs="Arial"/>
                <w:lang w:val="lt-LT"/>
              </w:rPr>
            </w:pPr>
            <w:r w:rsidRPr="00FE5FAD">
              <w:rPr>
                <w:rFonts w:ascii="Arial" w:hAnsi="Arial" w:cs="Arial"/>
                <w:lang w:val="lt-LT"/>
              </w:rPr>
              <w:t>3. J. Grigorjevaite, A. Katelnikovas, „Synthesis and Optical Properties Investigation of Blue-Excitable Red-Emitting K</w:t>
            </w:r>
            <w:r w:rsidRPr="00FE5FAD">
              <w:rPr>
                <w:rFonts w:ascii="Arial" w:hAnsi="Arial" w:cs="Arial"/>
                <w:vertAlign w:val="subscript"/>
                <w:lang w:val="lt-LT"/>
              </w:rPr>
              <w:t>2</w:t>
            </w:r>
            <w:r w:rsidRPr="00FE5FAD">
              <w:rPr>
                <w:rFonts w:ascii="Arial" w:hAnsi="Arial" w:cs="Arial"/>
                <w:lang w:val="lt-LT"/>
              </w:rPr>
              <w:t>Bi(PO</w:t>
            </w:r>
            <w:r w:rsidRPr="00FE5FAD">
              <w:rPr>
                <w:rFonts w:ascii="Arial" w:hAnsi="Arial" w:cs="Arial"/>
                <w:vertAlign w:val="subscript"/>
                <w:lang w:val="lt-LT"/>
              </w:rPr>
              <w:t>4</w:t>
            </w:r>
            <w:r w:rsidRPr="00FE5FAD">
              <w:rPr>
                <w:rFonts w:ascii="Arial" w:hAnsi="Arial" w:cs="Arial"/>
                <w:lang w:val="lt-LT"/>
              </w:rPr>
              <w:t>)(MoO</w:t>
            </w:r>
            <w:r w:rsidRPr="00FE5FAD">
              <w:rPr>
                <w:rFonts w:ascii="Arial" w:hAnsi="Arial" w:cs="Arial"/>
                <w:vertAlign w:val="subscript"/>
                <w:lang w:val="lt-LT"/>
              </w:rPr>
              <w:t>4</w:t>
            </w:r>
            <w:r w:rsidRPr="00FE5FAD">
              <w:rPr>
                <w:rFonts w:ascii="Arial" w:hAnsi="Arial" w:cs="Arial"/>
                <w:lang w:val="lt-LT"/>
              </w:rPr>
              <w:t>):Pr</w:t>
            </w:r>
            <w:r w:rsidRPr="00FE5FAD">
              <w:rPr>
                <w:rFonts w:ascii="Arial" w:hAnsi="Arial" w:cs="Arial"/>
                <w:vertAlign w:val="superscript"/>
                <w:lang w:val="lt-LT"/>
              </w:rPr>
              <w:t>3+</w:t>
            </w:r>
            <w:r w:rsidRPr="00FE5FAD">
              <w:rPr>
                <w:rFonts w:ascii="Arial" w:hAnsi="Arial" w:cs="Arial"/>
                <w:lang w:val="lt-LT"/>
              </w:rPr>
              <w:t xml:space="preserve"> Powders“, </w:t>
            </w:r>
            <w:r w:rsidRPr="00FE5FAD">
              <w:rPr>
                <w:rFonts w:ascii="Arial" w:hAnsi="Arial" w:cs="Arial"/>
                <w:lang w:val="lt-LT"/>
              </w:rPr>
              <w:lastRenderedPageBreak/>
              <w:t>Journal of Materials Research and Technology, 2020, 9, 6, 15779-15787  (doi: 10.1016/j.jmrt.2020.11.054), Impact factor – 5.289 (Q1).</w:t>
            </w:r>
          </w:p>
          <w:p w:rsidR="006F71D2" w:rsidRPr="00FE5FAD" w:rsidRDefault="006F71D2" w:rsidP="00FE5FAD">
            <w:pPr>
              <w:jc w:val="both"/>
              <w:rPr>
                <w:rFonts w:ascii="Arial" w:hAnsi="Arial" w:cs="Arial"/>
                <w:lang w:val="lt-LT"/>
              </w:rPr>
            </w:pPr>
            <w:r w:rsidRPr="00FE5FAD">
              <w:rPr>
                <w:rFonts w:ascii="Arial" w:hAnsi="Arial" w:cs="Arial"/>
                <w:lang w:val="lt-LT"/>
              </w:rPr>
              <w:t>4. J. Grigorjevaite, A. Katelnikovas, “Luminescence and Luminescence Quenching of K</w:t>
            </w:r>
            <w:r w:rsidRPr="00FE5FAD">
              <w:rPr>
                <w:rFonts w:ascii="Arial" w:hAnsi="Arial" w:cs="Arial"/>
                <w:vertAlign w:val="subscript"/>
                <w:lang w:val="lt-LT"/>
              </w:rPr>
              <w:t>2</w:t>
            </w:r>
            <w:r w:rsidRPr="00FE5FAD">
              <w:rPr>
                <w:rFonts w:ascii="Arial" w:hAnsi="Arial" w:cs="Arial"/>
                <w:lang w:val="lt-LT"/>
              </w:rPr>
              <w:t>Bi(PO</w:t>
            </w:r>
            <w:r w:rsidRPr="00FE5FAD">
              <w:rPr>
                <w:rFonts w:ascii="Arial" w:hAnsi="Arial" w:cs="Arial"/>
                <w:vertAlign w:val="subscript"/>
                <w:lang w:val="lt-LT"/>
              </w:rPr>
              <w:t>4</w:t>
            </w:r>
            <w:r w:rsidRPr="00FE5FAD">
              <w:rPr>
                <w:rFonts w:ascii="Arial" w:hAnsi="Arial" w:cs="Arial"/>
                <w:lang w:val="lt-LT"/>
              </w:rPr>
              <w:t>)(MoO</w:t>
            </w:r>
            <w:r w:rsidRPr="00FE5FAD">
              <w:rPr>
                <w:rFonts w:ascii="Arial" w:hAnsi="Arial" w:cs="Arial"/>
                <w:vertAlign w:val="subscript"/>
                <w:lang w:val="lt-LT"/>
              </w:rPr>
              <w:t>4</w:t>
            </w:r>
            <w:r w:rsidRPr="00FE5FAD">
              <w:rPr>
                <w:rFonts w:ascii="Arial" w:hAnsi="Arial" w:cs="Arial"/>
                <w:lang w:val="lt-LT"/>
              </w:rPr>
              <w:t>):Eu</w:t>
            </w:r>
            <w:r w:rsidRPr="00FE5FAD">
              <w:rPr>
                <w:rFonts w:ascii="Arial" w:hAnsi="Arial" w:cs="Arial"/>
                <w:vertAlign w:val="superscript"/>
                <w:lang w:val="lt-LT"/>
              </w:rPr>
              <w:t>3+</w:t>
            </w:r>
            <w:r w:rsidRPr="00FE5FAD">
              <w:rPr>
                <w:rFonts w:ascii="Arial" w:hAnsi="Arial" w:cs="Arial"/>
                <w:lang w:val="lt-LT"/>
              </w:rPr>
              <w:t xml:space="preserve"> Phosphors with Efficiencies Close to Unity”, ACS Applied Materials &amp; Interfaces, 2016, 8, 31772-31782, (doi: 10.1021/acsami.6b11766), Impact factor – 8,456 (Q1).</w:t>
            </w:r>
          </w:p>
          <w:p w:rsidR="00E60FDB" w:rsidRPr="00FE5FAD" w:rsidRDefault="006F71D2" w:rsidP="00FE5FAD">
            <w:pPr>
              <w:jc w:val="both"/>
              <w:rPr>
                <w:rFonts w:ascii="Arial" w:hAnsi="Arial" w:cs="Arial"/>
              </w:rPr>
            </w:pPr>
            <w:r w:rsidRPr="00FE5FAD">
              <w:rPr>
                <w:rFonts w:ascii="Arial" w:hAnsi="Arial" w:cs="Arial"/>
                <w:lang w:val="lt-LT"/>
              </w:rPr>
              <w:t>5. J. Grigorjevaite, E. Ezerskyte, A. Minderyte, S. Stanionyte, R. Juskenas, S. Sakirzanovas, A. Katelnikovas, “Optical Properties of Red-Emitting Rb</w:t>
            </w:r>
            <w:r w:rsidRPr="00FE5FAD">
              <w:rPr>
                <w:rFonts w:ascii="Arial" w:hAnsi="Arial" w:cs="Arial"/>
                <w:vertAlign w:val="subscript"/>
                <w:lang w:val="lt-LT"/>
              </w:rPr>
              <w:t>2</w:t>
            </w:r>
            <w:r w:rsidRPr="00FE5FAD">
              <w:rPr>
                <w:rFonts w:ascii="Arial" w:hAnsi="Arial" w:cs="Arial"/>
                <w:lang w:val="lt-LT"/>
              </w:rPr>
              <w:t>Bi(PO</w:t>
            </w:r>
            <w:r w:rsidRPr="00FE5FAD">
              <w:rPr>
                <w:rFonts w:ascii="Arial" w:hAnsi="Arial" w:cs="Arial"/>
                <w:vertAlign w:val="subscript"/>
                <w:lang w:val="lt-LT"/>
              </w:rPr>
              <w:t>4</w:t>
            </w:r>
            <w:r w:rsidRPr="00FE5FAD">
              <w:rPr>
                <w:rFonts w:ascii="Arial" w:hAnsi="Arial" w:cs="Arial"/>
                <w:lang w:val="lt-LT"/>
              </w:rPr>
              <w:t>)(MoO</w:t>
            </w:r>
            <w:r w:rsidRPr="00FE5FAD">
              <w:rPr>
                <w:rFonts w:ascii="Arial" w:hAnsi="Arial" w:cs="Arial"/>
                <w:vertAlign w:val="subscript"/>
                <w:lang w:val="lt-LT"/>
              </w:rPr>
              <w:t>4</w:t>
            </w:r>
            <w:r w:rsidRPr="00FE5FAD">
              <w:rPr>
                <w:rFonts w:ascii="Arial" w:hAnsi="Arial" w:cs="Arial"/>
                <w:lang w:val="lt-LT"/>
              </w:rPr>
              <w:t>):Eu</w:t>
            </w:r>
            <w:r w:rsidRPr="00FE5FAD">
              <w:rPr>
                <w:rFonts w:ascii="Arial" w:hAnsi="Arial" w:cs="Arial"/>
                <w:vertAlign w:val="superscript"/>
                <w:lang w:val="lt-LT"/>
              </w:rPr>
              <w:t>3+</w:t>
            </w:r>
            <w:r w:rsidRPr="00FE5FAD">
              <w:rPr>
                <w:rFonts w:ascii="Arial" w:hAnsi="Arial" w:cs="Arial"/>
                <w:lang w:val="lt-LT"/>
              </w:rPr>
              <w:t xml:space="preserve"> Powders and Ceramics with High quantum Efficiency for White LEDs“, Materials, 2019, 12, 3275, (doi: 10.3390/ma12193275), Impact factor – 2.972 (Q2).</w:t>
            </w:r>
          </w:p>
        </w:tc>
      </w:tr>
      <w:tr w:rsidR="00F5586B" w:rsidRPr="00FE5FAD" w:rsidTr="002F06EA">
        <w:tblPrEx>
          <w:tblCellMar>
            <w:top w:w="0" w:type="dxa"/>
            <w:bottom w:w="0" w:type="dxa"/>
          </w:tblCellMar>
        </w:tblPrEx>
        <w:tc>
          <w:tcPr>
            <w:tcW w:w="2943" w:type="dxa"/>
            <w:vAlign w:val="center"/>
          </w:tcPr>
          <w:p w:rsidR="00F5586B" w:rsidRPr="00FE5FAD" w:rsidRDefault="00F5586B" w:rsidP="0059419A">
            <w:pPr>
              <w:rPr>
                <w:rFonts w:ascii="Arial" w:hAnsi="Arial" w:cs="Arial"/>
                <w:lang w:val="lt-LT"/>
              </w:rPr>
            </w:pPr>
            <w:r>
              <w:rPr>
                <w:rFonts w:ascii="Arial" w:hAnsi="Arial" w:cs="Arial"/>
                <w:lang w:val="lt-LT"/>
              </w:rPr>
              <w:lastRenderedPageBreak/>
              <w:t>Greta Merkininkaitė</w:t>
            </w:r>
          </w:p>
        </w:tc>
        <w:tc>
          <w:tcPr>
            <w:tcW w:w="1701" w:type="dxa"/>
            <w:vAlign w:val="center"/>
          </w:tcPr>
          <w:p w:rsidR="00F5586B" w:rsidRPr="00FE5FAD" w:rsidRDefault="0075459B" w:rsidP="00E60FDB">
            <w:pPr>
              <w:jc w:val="center"/>
              <w:rPr>
                <w:rFonts w:ascii="Arial" w:hAnsi="Arial" w:cs="Arial"/>
                <w:lang w:val="lt-LT"/>
              </w:rPr>
            </w:pPr>
            <w:r>
              <w:rPr>
                <w:rFonts w:ascii="Arial" w:hAnsi="Arial" w:cs="Arial"/>
                <w:lang w:val="lt-LT"/>
              </w:rPr>
              <w:t>PhD</w:t>
            </w:r>
          </w:p>
        </w:tc>
        <w:tc>
          <w:tcPr>
            <w:tcW w:w="4678" w:type="dxa"/>
            <w:vAlign w:val="center"/>
          </w:tcPr>
          <w:p w:rsidR="00E42DE5" w:rsidRDefault="00E42DE5" w:rsidP="00E42DE5">
            <w:pPr>
              <w:numPr>
                <w:ilvl w:val="0"/>
                <w:numId w:val="12"/>
              </w:numPr>
              <w:ind w:left="0" w:firstLine="38"/>
              <w:jc w:val="both"/>
              <w:rPr>
                <w:rFonts w:ascii="Arial" w:hAnsi="Arial" w:cs="Arial"/>
              </w:rPr>
            </w:pPr>
            <w:r w:rsidRPr="00770D89">
              <w:rPr>
                <w:rFonts w:ascii="Arial" w:hAnsi="Arial" w:cs="Arial"/>
              </w:rPr>
              <w:t>G</w:t>
            </w:r>
            <w:r w:rsidR="001C0093">
              <w:rPr>
                <w:rFonts w:ascii="Arial" w:hAnsi="Arial" w:cs="Arial"/>
              </w:rPr>
              <w:t>.</w:t>
            </w:r>
            <w:r w:rsidRPr="00770D89">
              <w:rPr>
                <w:rFonts w:ascii="Arial" w:hAnsi="Arial" w:cs="Arial"/>
              </w:rPr>
              <w:t xml:space="preserve"> Merkininkait</w:t>
            </w:r>
            <w:r>
              <w:rPr>
                <w:rFonts w:ascii="Arial" w:hAnsi="Arial" w:cs="Arial"/>
              </w:rPr>
              <w:t>e</w:t>
            </w:r>
            <w:r w:rsidRPr="00770D89">
              <w:rPr>
                <w:rFonts w:ascii="Arial" w:hAnsi="Arial" w:cs="Arial"/>
              </w:rPr>
              <w:t>, D</w:t>
            </w:r>
            <w:r w:rsidR="001C0093">
              <w:rPr>
                <w:rFonts w:ascii="Arial" w:hAnsi="Arial" w:cs="Arial"/>
              </w:rPr>
              <w:t>.</w:t>
            </w:r>
            <w:r w:rsidRPr="00770D89">
              <w:rPr>
                <w:rFonts w:ascii="Arial" w:hAnsi="Arial" w:cs="Arial"/>
              </w:rPr>
              <w:t xml:space="preserve"> Gailevicius, S</w:t>
            </w:r>
            <w:r w:rsidR="001C0093">
              <w:rPr>
                <w:rFonts w:ascii="Arial" w:hAnsi="Arial" w:cs="Arial"/>
              </w:rPr>
              <w:t>.</w:t>
            </w:r>
            <w:r w:rsidRPr="00770D89">
              <w:rPr>
                <w:rFonts w:ascii="Arial" w:hAnsi="Arial" w:cs="Arial"/>
              </w:rPr>
              <w:t xml:space="preserve"> </w:t>
            </w:r>
            <w:r>
              <w:rPr>
                <w:rFonts w:ascii="Arial" w:hAnsi="Arial" w:cs="Arial"/>
              </w:rPr>
              <w:t>S</w:t>
            </w:r>
            <w:r w:rsidRPr="00770D89">
              <w:rPr>
                <w:rFonts w:ascii="Arial" w:hAnsi="Arial" w:cs="Arial"/>
              </w:rPr>
              <w:t>akirzanovas, L</w:t>
            </w:r>
            <w:r w:rsidR="001C0093">
              <w:rPr>
                <w:rFonts w:ascii="Arial" w:hAnsi="Arial" w:cs="Arial"/>
              </w:rPr>
              <w:t>.</w:t>
            </w:r>
            <w:r w:rsidRPr="00770D89">
              <w:rPr>
                <w:rFonts w:ascii="Arial" w:hAnsi="Arial" w:cs="Arial"/>
              </w:rPr>
              <w:t xml:space="preserve"> Jonu</w:t>
            </w:r>
            <w:r>
              <w:rPr>
                <w:rFonts w:ascii="Arial" w:hAnsi="Arial" w:cs="Arial"/>
              </w:rPr>
              <w:t>s</w:t>
            </w:r>
            <w:r w:rsidRPr="00770D89">
              <w:rPr>
                <w:rFonts w:ascii="Arial" w:hAnsi="Arial" w:cs="Arial"/>
              </w:rPr>
              <w:t>auskas. „Polymers for Regenerative Medicine Structures</w:t>
            </w:r>
            <w:r>
              <w:rPr>
                <w:rFonts w:ascii="Arial" w:hAnsi="Arial" w:cs="Arial"/>
              </w:rPr>
              <w:t xml:space="preserve"> </w:t>
            </w:r>
            <w:r w:rsidRPr="00770D89">
              <w:rPr>
                <w:rFonts w:ascii="Arial" w:hAnsi="Arial" w:cs="Arial"/>
              </w:rPr>
              <w:t xml:space="preserve">Made via Multiphoton 3D Lithography: a </w:t>
            </w:r>
            <w:proofErr w:type="gramStart"/>
            <w:r w:rsidRPr="00770D89">
              <w:rPr>
                <w:rFonts w:ascii="Arial" w:hAnsi="Arial" w:cs="Arial"/>
              </w:rPr>
              <w:t>Review“</w:t>
            </w:r>
            <w:proofErr w:type="gramEnd"/>
            <w:r w:rsidRPr="00770D89">
              <w:rPr>
                <w:rFonts w:ascii="Arial" w:hAnsi="Arial" w:cs="Arial"/>
              </w:rPr>
              <w:t>. International</w:t>
            </w:r>
            <w:r>
              <w:rPr>
                <w:rFonts w:ascii="Arial" w:hAnsi="Arial" w:cs="Arial"/>
              </w:rPr>
              <w:t xml:space="preserve"> </w:t>
            </w:r>
            <w:r w:rsidRPr="00770D89">
              <w:rPr>
                <w:rFonts w:ascii="Arial" w:hAnsi="Arial" w:cs="Arial"/>
              </w:rPr>
              <w:t>Journal of Polymer Science. Vol. 2019, article ID 3403548, 23, 2019,</w:t>
            </w:r>
            <w:r>
              <w:rPr>
                <w:rFonts w:ascii="Arial" w:hAnsi="Arial" w:cs="Arial"/>
              </w:rPr>
              <w:t xml:space="preserve"> </w:t>
            </w:r>
            <w:r w:rsidRPr="00770D89">
              <w:rPr>
                <w:rFonts w:ascii="Arial" w:hAnsi="Arial" w:cs="Arial"/>
              </w:rPr>
              <w:t>doi: 10.1155/2019/3403548.</w:t>
            </w:r>
          </w:p>
          <w:p w:rsidR="00E42DE5" w:rsidRDefault="00E42DE5" w:rsidP="00E42DE5">
            <w:pPr>
              <w:numPr>
                <w:ilvl w:val="0"/>
                <w:numId w:val="12"/>
              </w:numPr>
              <w:ind w:left="38" w:firstLine="0"/>
              <w:jc w:val="both"/>
              <w:rPr>
                <w:rFonts w:ascii="Arial" w:hAnsi="Arial" w:cs="Arial"/>
              </w:rPr>
            </w:pPr>
            <w:r w:rsidRPr="00770D89">
              <w:rPr>
                <w:rFonts w:ascii="Arial" w:hAnsi="Arial" w:cs="Arial"/>
              </w:rPr>
              <w:t>G</w:t>
            </w:r>
            <w:r w:rsidR="001C0093">
              <w:rPr>
                <w:rFonts w:ascii="Arial" w:hAnsi="Arial" w:cs="Arial"/>
              </w:rPr>
              <w:t>.</w:t>
            </w:r>
            <w:r w:rsidRPr="00770D89">
              <w:rPr>
                <w:rFonts w:ascii="Arial" w:hAnsi="Arial" w:cs="Arial"/>
              </w:rPr>
              <w:t xml:space="preserve"> Merkininkaite, E</w:t>
            </w:r>
            <w:r w:rsidR="001C0093">
              <w:rPr>
                <w:rFonts w:ascii="Arial" w:hAnsi="Arial" w:cs="Arial"/>
              </w:rPr>
              <w:t>.</w:t>
            </w:r>
            <w:r w:rsidRPr="00770D89">
              <w:rPr>
                <w:rFonts w:ascii="Arial" w:hAnsi="Arial" w:cs="Arial"/>
              </w:rPr>
              <w:t xml:space="preserve"> Aleksandravicius, M</w:t>
            </w:r>
            <w:r w:rsidR="001C0093">
              <w:rPr>
                <w:rFonts w:ascii="Arial" w:hAnsi="Arial" w:cs="Arial"/>
              </w:rPr>
              <w:t>.</w:t>
            </w:r>
            <w:r w:rsidRPr="00770D89">
              <w:rPr>
                <w:rFonts w:ascii="Arial" w:hAnsi="Arial" w:cs="Arial"/>
              </w:rPr>
              <w:t xml:space="preserve"> Malinauskas, D</w:t>
            </w:r>
            <w:r w:rsidR="001C0093">
              <w:rPr>
                <w:rFonts w:ascii="Arial" w:hAnsi="Arial" w:cs="Arial"/>
              </w:rPr>
              <w:t>.</w:t>
            </w:r>
            <w:r w:rsidRPr="00770D89">
              <w:rPr>
                <w:rFonts w:ascii="Arial" w:hAnsi="Arial" w:cs="Arial"/>
              </w:rPr>
              <w:t xml:space="preserve"> Gailevicius, S</w:t>
            </w:r>
            <w:r w:rsidR="001C0093">
              <w:rPr>
                <w:rFonts w:ascii="Arial" w:hAnsi="Arial" w:cs="Arial"/>
              </w:rPr>
              <w:t>.</w:t>
            </w:r>
            <w:r w:rsidRPr="00770D89">
              <w:rPr>
                <w:rFonts w:ascii="Arial" w:hAnsi="Arial" w:cs="Arial"/>
              </w:rPr>
              <w:t xml:space="preserve"> </w:t>
            </w:r>
            <w:r>
              <w:rPr>
                <w:rFonts w:ascii="Arial" w:hAnsi="Arial" w:cs="Arial"/>
              </w:rPr>
              <w:t>S</w:t>
            </w:r>
            <w:r w:rsidRPr="00770D89">
              <w:rPr>
                <w:rFonts w:ascii="Arial" w:hAnsi="Arial" w:cs="Arial"/>
              </w:rPr>
              <w:t>akirzanovas. „Laser additive</w:t>
            </w:r>
            <w:r>
              <w:rPr>
                <w:rFonts w:ascii="Arial" w:hAnsi="Arial" w:cs="Arial"/>
              </w:rPr>
              <w:t xml:space="preserve"> </w:t>
            </w:r>
            <w:r w:rsidRPr="00770D89">
              <w:rPr>
                <w:rFonts w:ascii="Arial" w:hAnsi="Arial" w:cs="Arial"/>
              </w:rPr>
              <w:t xml:space="preserve">manufacturing of Si/ZrO2 tunable crystalline phase 3D </w:t>
            </w:r>
            <w:proofErr w:type="gramStart"/>
            <w:r w:rsidRPr="00770D89">
              <w:rPr>
                <w:rFonts w:ascii="Arial" w:hAnsi="Arial" w:cs="Arial"/>
              </w:rPr>
              <w:t>nanostructures“</w:t>
            </w:r>
            <w:proofErr w:type="gramEnd"/>
            <w:r w:rsidRPr="00770D89">
              <w:rPr>
                <w:rFonts w:ascii="Arial" w:hAnsi="Arial" w:cs="Arial"/>
              </w:rPr>
              <w:t>. Opto-Electronic Advances. Vol. 5, No. 5, 210077, 2022,</w:t>
            </w:r>
            <w:r>
              <w:rPr>
                <w:rFonts w:ascii="Arial" w:hAnsi="Arial" w:cs="Arial"/>
              </w:rPr>
              <w:t xml:space="preserve"> </w:t>
            </w:r>
            <w:r w:rsidRPr="00770D89">
              <w:rPr>
                <w:rFonts w:ascii="Arial" w:hAnsi="Arial" w:cs="Arial"/>
              </w:rPr>
              <w:t>doi: 10.29026/oea.2022.210077</w:t>
            </w:r>
            <w:r>
              <w:rPr>
                <w:rFonts w:ascii="Arial" w:hAnsi="Arial" w:cs="Arial"/>
              </w:rPr>
              <w:t>.</w:t>
            </w:r>
          </w:p>
          <w:p w:rsidR="00F5586B" w:rsidRDefault="00E42DE5" w:rsidP="00E42DE5">
            <w:pPr>
              <w:numPr>
                <w:ilvl w:val="0"/>
                <w:numId w:val="12"/>
              </w:numPr>
              <w:ind w:left="38" w:firstLine="0"/>
              <w:jc w:val="both"/>
              <w:rPr>
                <w:rFonts w:ascii="Arial" w:hAnsi="Arial" w:cs="Arial"/>
              </w:rPr>
            </w:pPr>
            <w:r w:rsidRPr="001E778F">
              <w:rPr>
                <w:rFonts w:ascii="Arial" w:hAnsi="Arial" w:cs="Arial"/>
              </w:rPr>
              <w:t>G. Merkininkaite, E. Aleksandravicius, S. Varapnickas, D. Gailevicius, S. Sakirzanovas, M. Malinauskas: „Multi-photon 3D lithography for sub-100 nm additive manufacturing of inorganics”,</w:t>
            </w:r>
            <w:r>
              <w:rPr>
                <w:rFonts w:ascii="Arial" w:hAnsi="Arial" w:cs="Arial"/>
              </w:rPr>
              <w:t xml:space="preserve"> </w:t>
            </w:r>
            <w:r w:rsidRPr="001E778F">
              <w:rPr>
                <w:rFonts w:ascii="Arial" w:hAnsi="Arial" w:cs="Arial"/>
              </w:rPr>
              <w:t>in</w:t>
            </w:r>
            <w:r>
              <w:rPr>
                <w:rFonts w:ascii="Arial" w:hAnsi="Arial" w:cs="Arial"/>
              </w:rPr>
              <w:t xml:space="preserve"> </w:t>
            </w:r>
            <w:r w:rsidRPr="001E778F">
              <w:rPr>
                <w:rFonts w:ascii="Arial" w:hAnsi="Arial" w:cs="Arial"/>
              </w:rPr>
              <w:t>book: „Ultrafast Laser Nanostructuring − The Pursuit of Extreme</w:t>
            </w:r>
            <w:r>
              <w:rPr>
                <w:rFonts w:ascii="Arial" w:hAnsi="Arial" w:cs="Arial"/>
              </w:rPr>
              <w:t xml:space="preserve"> </w:t>
            </w:r>
            <w:proofErr w:type="gramStart"/>
            <w:r w:rsidRPr="001E778F">
              <w:rPr>
                <w:rFonts w:ascii="Arial" w:hAnsi="Arial" w:cs="Arial"/>
              </w:rPr>
              <w:t>Scales“</w:t>
            </w:r>
            <w:proofErr w:type="gramEnd"/>
            <w:r w:rsidRPr="001E778F">
              <w:rPr>
                <w:rFonts w:ascii="Arial" w:hAnsi="Arial" w:cs="Arial"/>
              </w:rPr>
              <w:t>, Springer-Nature, Chapter No. 22,</w:t>
            </w:r>
            <w:r>
              <w:rPr>
                <w:rFonts w:ascii="Arial" w:hAnsi="Arial" w:cs="Arial"/>
              </w:rPr>
              <w:t xml:space="preserve"> </w:t>
            </w:r>
            <w:r w:rsidRPr="00E42DE5">
              <w:rPr>
                <w:rFonts w:ascii="Arial" w:hAnsi="Arial" w:cs="Arial"/>
                <w:i/>
                <w:iCs/>
              </w:rPr>
              <w:t>in press</w:t>
            </w:r>
            <w:r w:rsidRPr="001E778F">
              <w:rPr>
                <w:rFonts w:ascii="Arial" w:hAnsi="Arial" w:cs="Arial"/>
              </w:rPr>
              <w:t xml:space="preserve"> (202</w:t>
            </w:r>
            <w:r>
              <w:rPr>
                <w:rFonts w:ascii="Arial" w:hAnsi="Arial" w:cs="Arial"/>
              </w:rPr>
              <w:t>3</w:t>
            </w:r>
            <w:r w:rsidRPr="001E778F">
              <w:rPr>
                <w:rFonts w:ascii="Arial" w:hAnsi="Arial" w:cs="Arial"/>
              </w:rPr>
              <w:t>).</w:t>
            </w:r>
          </w:p>
          <w:p w:rsidR="00E42DE5" w:rsidRDefault="001C0093" w:rsidP="00E42DE5">
            <w:pPr>
              <w:numPr>
                <w:ilvl w:val="0"/>
                <w:numId w:val="12"/>
              </w:numPr>
              <w:ind w:left="38" w:firstLine="0"/>
              <w:jc w:val="both"/>
              <w:rPr>
                <w:rFonts w:ascii="Arial" w:hAnsi="Arial" w:cs="Arial"/>
              </w:rPr>
            </w:pPr>
            <w:r>
              <w:rPr>
                <w:rFonts w:ascii="Arial" w:hAnsi="Arial" w:cs="Arial"/>
              </w:rPr>
              <w:t xml:space="preserve">D. </w:t>
            </w:r>
            <w:r w:rsidR="00E42DE5" w:rsidRPr="00E42DE5">
              <w:rPr>
                <w:rFonts w:ascii="Arial" w:hAnsi="Arial" w:cs="Arial"/>
              </w:rPr>
              <w:t xml:space="preserve">Gonzalez-Hernandez, </w:t>
            </w:r>
            <w:r>
              <w:rPr>
                <w:rFonts w:ascii="Arial" w:hAnsi="Arial" w:cs="Arial"/>
              </w:rPr>
              <w:t xml:space="preserve">S. </w:t>
            </w:r>
            <w:r w:rsidR="00E42DE5" w:rsidRPr="00E42DE5">
              <w:rPr>
                <w:rFonts w:ascii="Arial" w:hAnsi="Arial" w:cs="Arial"/>
              </w:rPr>
              <w:t>Varapnickas,</w:t>
            </w:r>
            <w:r>
              <w:rPr>
                <w:rFonts w:ascii="Arial" w:hAnsi="Arial" w:cs="Arial"/>
              </w:rPr>
              <w:t xml:space="preserve"> G. </w:t>
            </w:r>
            <w:r w:rsidR="00E42DE5" w:rsidRPr="00E42DE5">
              <w:rPr>
                <w:rFonts w:ascii="Arial" w:hAnsi="Arial" w:cs="Arial"/>
              </w:rPr>
              <w:t xml:space="preserve">Merkininkaite, </w:t>
            </w:r>
            <w:r>
              <w:rPr>
                <w:rFonts w:ascii="Arial" w:hAnsi="Arial" w:cs="Arial"/>
              </w:rPr>
              <w:t xml:space="preserve">A. </w:t>
            </w:r>
            <w:r w:rsidR="00E42DE5" w:rsidRPr="00E42DE5">
              <w:rPr>
                <w:rFonts w:ascii="Arial" w:hAnsi="Arial" w:cs="Arial"/>
              </w:rPr>
              <w:t>Ciburys,</w:t>
            </w:r>
            <w:r w:rsidR="00E42DE5">
              <w:rPr>
                <w:rFonts w:ascii="Arial" w:hAnsi="Arial" w:cs="Arial"/>
              </w:rPr>
              <w:t xml:space="preserve"> </w:t>
            </w:r>
            <w:r>
              <w:rPr>
                <w:rFonts w:ascii="Arial" w:hAnsi="Arial" w:cs="Arial"/>
              </w:rPr>
              <w:t xml:space="preserve">D. </w:t>
            </w:r>
            <w:r w:rsidR="00E42DE5" w:rsidRPr="00E42DE5">
              <w:rPr>
                <w:rFonts w:ascii="Arial" w:hAnsi="Arial" w:cs="Arial"/>
              </w:rPr>
              <w:t xml:space="preserve">Gailevicius, </w:t>
            </w:r>
            <w:r>
              <w:rPr>
                <w:rFonts w:ascii="Arial" w:hAnsi="Arial" w:cs="Arial"/>
              </w:rPr>
              <w:t xml:space="preserve">S. </w:t>
            </w:r>
            <w:r w:rsidR="00E42DE5">
              <w:rPr>
                <w:rFonts w:ascii="Arial" w:hAnsi="Arial" w:cs="Arial"/>
              </w:rPr>
              <w:t>S</w:t>
            </w:r>
            <w:r w:rsidR="00E42DE5" w:rsidRPr="00E42DE5">
              <w:rPr>
                <w:rFonts w:ascii="Arial" w:hAnsi="Arial" w:cs="Arial"/>
              </w:rPr>
              <w:t xml:space="preserve">akirzanovas, </w:t>
            </w:r>
            <w:r>
              <w:rPr>
                <w:rFonts w:ascii="Arial" w:hAnsi="Arial" w:cs="Arial"/>
              </w:rPr>
              <w:t xml:space="preserve">S. </w:t>
            </w:r>
            <w:r w:rsidR="00E42DE5" w:rsidRPr="00E42DE5">
              <w:rPr>
                <w:rFonts w:ascii="Arial" w:hAnsi="Arial" w:cs="Arial"/>
              </w:rPr>
              <w:t xml:space="preserve">Juodkazis, </w:t>
            </w:r>
            <w:r>
              <w:rPr>
                <w:rFonts w:ascii="Arial" w:hAnsi="Arial" w:cs="Arial"/>
              </w:rPr>
              <w:t xml:space="preserve">M. </w:t>
            </w:r>
            <w:proofErr w:type="gramStart"/>
            <w:r w:rsidR="00E42DE5" w:rsidRPr="00E42DE5">
              <w:rPr>
                <w:rFonts w:ascii="Arial" w:hAnsi="Arial" w:cs="Arial"/>
              </w:rPr>
              <w:t xml:space="preserve">Malinauskas, </w:t>
            </w:r>
            <w:r w:rsidR="00E42DE5">
              <w:rPr>
                <w:rFonts w:ascii="Arial" w:hAnsi="Arial" w:cs="Arial"/>
              </w:rPr>
              <w:t xml:space="preserve"> </w:t>
            </w:r>
            <w:r w:rsidR="00E42DE5" w:rsidRPr="00E42DE5">
              <w:rPr>
                <w:rFonts w:ascii="Arial" w:hAnsi="Arial" w:cs="Arial"/>
              </w:rPr>
              <w:t>„</w:t>
            </w:r>
            <w:proofErr w:type="gramEnd"/>
            <w:r w:rsidR="00E42DE5" w:rsidRPr="00E42DE5">
              <w:rPr>
                <w:rFonts w:ascii="Arial" w:hAnsi="Arial" w:cs="Arial"/>
              </w:rPr>
              <w:t>Laser 3D Printing of Inorganic Free-Form Micro-Optics“. „Photonics“, 2021, 8(12), 577. doi: 10.3390/photonics8120577.</w:t>
            </w:r>
          </w:p>
          <w:p w:rsidR="00E42DE5" w:rsidRPr="00E42DE5" w:rsidRDefault="00E42DE5" w:rsidP="00E42DE5">
            <w:pPr>
              <w:numPr>
                <w:ilvl w:val="0"/>
                <w:numId w:val="12"/>
              </w:numPr>
              <w:ind w:left="38" w:firstLine="0"/>
              <w:jc w:val="both"/>
              <w:rPr>
                <w:rFonts w:ascii="Arial" w:hAnsi="Arial" w:cs="Arial"/>
              </w:rPr>
            </w:pPr>
            <w:r w:rsidRPr="00E42DE5">
              <w:rPr>
                <w:rFonts w:ascii="Arial" w:hAnsi="Arial" w:cs="Arial"/>
              </w:rPr>
              <w:t>A</w:t>
            </w:r>
            <w:r w:rsidR="001C0093">
              <w:rPr>
                <w:rFonts w:ascii="Arial" w:hAnsi="Arial" w:cs="Arial"/>
              </w:rPr>
              <w:t>.</w:t>
            </w:r>
            <w:r w:rsidRPr="00E42DE5">
              <w:rPr>
                <w:rFonts w:ascii="Arial" w:hAnsi="Arial" w:cs="Arial"/>
              </w:rPr>
              <w:t xml:space="preserve"> Butkute, G</w:t>
            </w:r>
            <w:r w:rsidR="001C0093">
              <w:rPr>
                <w:rFonts w:ascii="Arial" w:hAnsi="Arial" w:cs="Arial"/>
              </w:rPr>
              <w:t>.</w:t>
            </w:r>
            <w:r w:rsidRPr="00E42DE5">
              <w:rPr>
                <w:rFonts w:ascii="Arial" w:hAnsi="Arial" w:cs="Arial"/>
              </w:rPr>
              <w:t xml:space="preserve"> Merkininkaite, T</w:t>
            </w:r>
            <w:r w:rsidR="001C0093">
              <w:rPr>
                <w:rFonts w:ascii="Arial" w:hAnsi="Arial" w:cs="Arial"/>
              </w:rPr>
              <w:t>.</w:t>
            </w:r>
            <w:r w:rsidRPr="00E42DE5">
              <w:rPr>
                <w:rFonts w:ascii="Arial" w:hAnsi="Arial" w:cs="Arial"/>
              </w:rPr>
              <w:t xml:space="preserve"> Jurk</w:t>
            </w:r>
            <w:r w:rsidR="001C0093">
              <w:rPr>
                <w:rFonts w:ascii="Arial" w:hAnsi="Arial" w:cs="Arial"/>
              </w:rPr>
              <w:t>s</w:t>
            </w:r>
            <w:r w:rsidRPr="00E42DE5">
              <w:rPr>
                <w:rFonts w:ascii="Arial" w:hAnsi="Arial" w:cs="Arial"/>
              </w:rPr>
              <w:t>as, J</w:t>
            </w:r>
            <w:r w:rsidR="001C0093">
              <w:rPr>
                <w:rFonts w:ascii="Arial" w:hAnsi="Arial" w:cs="Arial"/>
              </w:rPr>
              <w:t>.</w:t>
            </w:r>
            <w:r w:rsidRPr="00E42DE5">
              <w:rPr>
                <w:rFonts w:ascii="Arial" w:hAnsi="Arial" w:cs="Arial"/>
              </w:rPr>
              <w:t xml:space="preserve"> Stancikas, T</w:t>
            </w:r>
            <w:r w:rsidR="001C0093">
              <w:rPr>
                <w:rFonts w:ascii="Arial" w:hAnsi="Arial" w:cs="Arial"/>
              </w:rPr>
              <w:t>.</w:t>
            </w:r>
            <w:r w:rsidRPr="00E42DE5">
              <w:rPr>
                <w:rFonts w:ascii="Arial" w:hAnsi="Arial" w:cs="Arial"/>
              </w:rPr>
              <w:t xml:space="preserve"> Baravykas, R</w:t>
            </w:r>
            <w:r w:rsidR="001C0093">
              <w:rPr>
                <w:rFonts w:ascii="Arial" w:hAnsi="Arial" w:cs="Arial"/>
              </w:rPr>
              <w:t>.</w:t>
            </w:r>
            <w:r w:rsidRPr="00E42DE5">
              <w:rPr>
                <w:rFonts w:ascii="Arial" w:hAnsi="Arial" w:cs="Arial"/>
              </w:rPr>
              <w:t xml:space="preserve"> Vargalis, T</w:t>
            </w:r>
            <w:r w:rsidR="001C0093">
              <w:rPr>
                <w:rFonts w:ascii="Arial" w:hAnsi="Arial" w:cs="Arial"/>
              </w:rPr>
              <w:t>.</w:t>
            </w:r>
            <w:r w:rsidRPr="00E42DE5">
              <w:rPr>
                <w:rFonts w:ascii="Arial" w:hAnsi="Arial" w:cs="Arial"/>
              </w:rPr>
              <w:t xml:space="preserve"> Tickunas, J</w:t>
            </w:r>
            <w:r w:rsidR="001C0093">
              <w:rPr>
                <w:rFonts w:ascii="Arial" w:hAnsi="Arial" w:cs="Arial"/>
              </w:rPr>
              <w:t>.</w:t>
            </w:r>
            <w:r w:rsidRPr="00E42DE5">
              <w:rPr>
                <w:rFonts w:ascii="Arial" w:hAnsi="Arial" w:cs="Arial"/>
              </w:rPr>
              <w:t xml:space="preserve"> Bachmann, S</w:t>
            </w:r>
            <w:r w:rsidR="001C0093">
              <w:rPr>
                <w:rFonts w:ascii="Arial" w:hAnsi="Arial" w:cs="Arial"/>
              </w:rPr>
              <w:t>.</w:t>
            </w:r>
            <w:r w:rsidRPr="00E42DE5">
              <w:rPr>
                <w:rFonts w:ascii="Arial" w:hAnsi="Arial" w:cs="Arial"/>
              </w:rPr>
              <w:t xml:space="preserve"> </w:t>
            </w:r>
            <w:r w:rsidR="001C0093">
              <w:rPr>
                <w:rFonts w:ascii="Arial" w:hAnsi="Arial" w:cs="Arial"/>
              </w:rPr>
              <w:t>S</w:t>
            </w:r>
            <w:r w:rsidRPr="00E42DE5">
              <w:rPr>
                <w:rFonts w:ascii="Arial" w:hAnsi="Arial" w:cs="Arial"/>
              </w:rPr>
              <w:t>akirzanovas, V</w:t>
            </w:r>
            <w:r w:rsidR="001C0093">
              <w:rPr>
                <w:rFonts w:ascii="Arial" w:hAnsi="Arial" w:cs="Arial"/>
              </w:rPr>
              <w:t>.</w:t>
            </w:r>
            <w:r w:rsidRPr="00E42DE5">
              <w:rPr>
                <w:rFonts w:ascii="Arial" w:hAnsi="Arial" w:cs="Arial"/>
              </w:rPr>
              <w:t xml:space="preserve"> Sirutkaitis</w:t>
            </w:r>
            <w:r w:rsidR="001C0093">
              <w:rPr>
                <w:rFonts w:ascii="Arial" w:hAnsi="Arial" w:cs="Arial"/>
              </w:rPr>
              <w:t>,</w:t>
            </w:r>
            <w:r w:rsidRPr="00E42DE5">
              <w:rPr>
                <w:rFonts w:ascii="Arial" w:hAnsi="Arial" w:cs="Arial"/>
              </w:rPr>
              <w:t xml:space="preserve"> L</w:t>
            </w:r>
            <w:r w:rsidR="001C0093">
              <w:rPr>
                <w:rFonts w:ascii="Arial" w:hAnsi="Arial" w:cs="Arial"/>
              </w:rPr>
              <w:t>.</w:t>
            </w:r>
            <w:r w:rsidRPr="00E42DE5">
              <w:rPr>
                <w:rFonts w:ascii="Arial" w:hAnsi="Arial" w:cs="Arial"/>
              </w:rPr>
              <w:t xml:space="preserve"> Jonu</w:t>
            </w:r>
            <w:r w:rsidR="001C0093">
              <w:rPr>
                <w:rFonts w:ascii="Arial" w:hAnsi="Arial" w:cs="Arial"/>
              </w:rPr>
              <w:t>s</w:t>
            </w:r>
            <w:r w:rsidRPr="00E42DE5">
              <w:rPr>
                <w:rFonts w:ascii="Arial" w:hAnsi="Arial" w:cs="Arial"/>
              </w:rPr>
              <w:t>auskas.</w:t>
            </w:r>
            <w:r>
              <w:rPr>
                <w:rFonts w:ascii="Arial" w:hAnsi="Arial" w:cs="Arial"/>
              </w:rPr>
              <w:t xml:space="preserve"> </w:t>
            </w:r>
            <w:r w:rsidRPr="00E42DE5">
              <w:rPr>
                <w:rFonts w:ascii="Arial" w:hAnsi="Arial" w:cs="Arial"/>
              </w:rPr>
              <w:t>„Femtosecond Laser Assisted 3D Etching Using Inorganic-Organic</w:t>
            </w:r>
            <w:r>
              <w:rPr>
                <w:rFonts w:ascii="Arial" w:hAnsi="Arial" w:cs="Arial"/>
              </w:rPr>
              <w:t xml:space="preserve"> </w:t>
            </w:r>
            <w:r w:rsidRPr="00E42DE5">
              <w:rPr>
                <w:rFonts w:ascii="Arial" w:hAnsi="Arial" w:cs="Arial"/>
              </w:rPr>
              <w:t>Etchant“. Materials 2022, 15(8), 2817; doi: 10.3390/ma15082817</w:t>
            </w:r>
            <w:r>
              <w:rPr>
                <w:rFonts w:ascii="Arial" w:hAnsi="Arial" w:cs="Arial"/>
              </w:rPr>
              <w:t>.</w:t>
            </w:r>
          </w:p>
        </w:tc>
      </w:tr>
      <w:tr w:rsidR="00E60FDB" w:rsidRPr="00FE5FAD" w:rsidTr="002F06EA">
        <w:tblPrEx>
          <w:tblCellMar>
            <w:top w:w="0" w:type="dxa"/>
            <w:bottom w:w="0" w:type="dxa"/>
          </w:tblCellMar>
        </w:tblPrEx>
        <w:tc>
          <w:tcPr>
            <w:tcW w:w="2943" w:type="dxa"/>
            <w:vAlign w:val="center"/>
          </w:tcPr>
          <w:p w:rsidR="00E60FDB" w:rsidRPr="00FE5FAD" w:rsidRDefault="00E60FDB" w:rsidP="0059419A">
            <w:pPr>
              <w:rPr>
                <w:rFonts w:ascii="Arial" w:hAnsi="Arial" w:cs="Arial"/>
                <w:lang w:val="lt-LT"/>
              </w:rPr>
            </w:pPr>
            <w:r w:rsidRPr="00FE5FAD">
              <w:rPr>
                <w:rFonts w:ascii="Arial" w:hAnsi="Arial" w:cs="Arial"/>
                <w:lang w:val="lt-LT"/>
              </w:rPr>
              <w:t>Živilė Stankevičiūtė</w:t>
            </w:r>
          </w:p>
        </w:tc>
        <w:tc>
          <w:tcPr>
            <w:tcW w:w="1701" w:type="dxa"/>
            <w:vAlign w:val="center"/>
          </w:tcPr>
          <w:p w:rsidR="00E60FDB" w:rsidRPr="00FE5FAD" w:rsidRDefault="0075459B" w:rsidP="00E60FDB">
            <w:pPr>
              <w:jc w:val="center"/>
              <w:rPr>
                <w:rFonts w:ascii="Arial" w:hAnsi="Arial" w:cs="Arial"/>
                <w:lang w:val="lt-LT"/>
              </w:rPr>
            </w:pPr>
            <w:r>
              <w:rPr>
                <w:rFonts w:ascii="Arial" w:hAnsi="Arial" w:cs="Arial"/>
                <w:lang w:val="lt-LT"/>
              </w:rPr>
              <w:t>PhD</w:t>
            </w:r>
          </w:p>
        </w:tc>
        <w:tc>
          <w:tcPr>
            <w:tcW w:w="4678" w:type="dxa"/>
            <w:vAlign w:val="center"/>
          </w:tcPr>
          <w:p w:rsidR="00E60FDB" w:rsidRPr="00364CF8" w:rsidRDefault="00364CF8" w:rsidP="00401084">
            <w:pPr>
              <w:jc w:val="both"/>
              <w:rPr>
                <w:rFonts w:ascii="Arial" w:hAnsi="Arial" w:cs="Arial"/>
              </w:rPr>
            </w:pPr>
            <w:r>
              <w:rPr>
                <w:rFonts w:ascii="Arial" w:hAnsi="Arial" w:cs="Arial"/>
              </w:rPr>
              <w:t xml:space="preserve">1. </w:t>
            </w:r>
            <w:r w:rsidRPr="00364CF8">
              <w:rPr>
                <w:rFonts w:ascii="Arial" w:hAnsi="Arial" w:cs="Arial"/>
              </w:rPr>
              <w:t>Garškaitė, Edita; Estevez, Maria M.; Bystrom,  Alexandra; Forsth, Michael; Stankevičiūtė,  Živilė; Sokol, Denis; Steele, Matthew; Sandberg, Dick. Studying the application of fish-farming net-cleaning waste as fire-retardant for Scots pine (Pinus sylvestris L.) sapwood // EFB bioeconomy journal : Elsevier. ISSN 2667-0410. 2022, vol. 2, art. no. 100025, p. [1-12].  DOI: </w:t>
            </w:r>
            <w:hyperlink r:id="rId9" w:tgtFrame="_blank" w:history="1">
              <w:r w:rsidRPr="00364CF8">
                <w:rPr>
                  <w:rStyle w:val="Hyperlink"/>
                  <w:rFonts w:ascii="Arial" w:hAnsi="Arial" w:cs="Arial"/>
                </w:rPr>
                <w:t>10.1016/j.bioeco.2022.100025</w:t>
              </w:r>
            </w:hyperlink>
            <w:r w:rsidRPr="00364CF8">
              <w:rPr>
                <w:rFonts w:ascii="Arial" w:hAnsi="Arial" w:cs="Arial"/>
              </w:rPr>
              <w:t>.</w:t>
            </w:r>
          </w:p>
          <w:p w:rsidR="00364CF8" w:rsidRPr="00364CF8" w:rsidRDefault="00364CF8" w:rsidP="00401084">
            <w:pPr>
              <w:jc w:val="both"/>
              <w:rPr>
                <w:rFonts w:ascii="Arial" w:hAnsi="Arial" w:cs="Arial"/>
                <w:color w:val="000000"/>
              </w:rPr>
            </w:pPr>
            <w:r>
              <w:rPr>
                <w:rFonts w:ascii="Arial" w:hAnsi="Arial" w:cs="Arial"/>
              </w:rPr>
              <w:t xml:space="preserve">2. </w:t>
            </w:r>
            <w:r w:rsidRPr="00364CF8">
              <w:rPr>
                <w:rFonts w:ascii="Arial" w:hAnsi="Arial" w:cs="Arial"/>
              </w:rPr>
              <w:t>Januškevičius, Justinas</w:t>
            </w:r>
            <w:r w:rsidRPr="00364CF8">
              <w:rPr>
                <w:rFonts w:ascii="Arial" w:hAnsi="Arial" w:cs="Arial"/>
                <w:color w:val="000000"/>
              </w:rPr>
              <w:t>; </w:t>
            </w:r>
            <w:r w:rsidRPr="00364CF8">
              <w:rPr>
                <w:rFonts w:ascii="Arial" w:hAnsi="Arial" w:cs="Arial"/>
              </w:rPr>
              <w:t>Stankevičiūtė, Živilė</w:t>
            </w:r>
            <w:r w:rsidRPr="00364CF8">
              <w:rPr>
                <w:rFonts w:ascii="Arial" w:hAnsi="Arial" w:cs="Arial"/>
                <w:color w:val="000000"/>
              </w:rPr>
              <w:t>; </w:t>
            </w:r>
            <w:r w:rsidRPr="00364CF8">
              <w:rPr>
                <w:rFonts w:ascii="Arial" w:hAnsi="Arial" w:cs="Arial"/>
              </w:rPr>
              <w:t>Baltrūnas, Dalis Antanas</w:t>
            </w:r>
            <w:r w:rsidRPr="00364CF8">
              <w:rPr>
                <w:rFonts w:ascii="Arial" w:hAnsi="Arial" w:cs="Arial"/>
                <w:color w:val="000000"/>
              </w:rPr>
              <w:t>; </w:t>
            </w:r>
            <w:r w:rsidRPr="00364CF8">
              <w:rPr>
                <w:rFonts w:ascii="Arial" w:hAnsi="Arial" w:cs="Arial"/>
              </w:rPr>
              <w:t>Mažeika, Kęstutis</w:t>
            </w:r>
            <w:r w:rsidRPr="00364CF8">
              <w:rPr>
                <w:rFonts w:ascii="Arial" w:hAnsi="Arial" w:cs="Arial"/>
                <w:color w:val="000000"/>
              </w:rPr>
              <w:t>; </w:t>
            </w:r>
            <w:r w:rsidRPr="00364CF8">
              <w:rPr>
                <w:rFonts w:ascii="Arial" w:hAnsi="Arial" w:cs="Arial"/>
              </w:rPr>
              <w:t>Murauskas, Tomas</w:t>
            </w:r>
            <w:r w:rsidRPr="00364CF8">
              <w:rPr>
                <w:rFonts w:ascii="Arial" w:hAnsi="Arial" w:cs="Arial"/>
                <w:color w:val="000000"/>
              </w:rPr>
              <w:t>; </w:t>
            </w:r>
            <w:r w:rsidRPr="00364CF8">
              <w:rPr>
                <w:rFonts w:ascii="Arial" w:hAnsi="Arial" w:cs="Arial"/>
              </w:rPr>
              <w:t>Drabavičius, Audrius</w:t>
            </w:r>
            <w:r w:rsidRPr="00364CF8">
              <w:rPr>
                <w:rFonts w:ascii="Arial" w:hAnsi="Arial" w:cs="Arial"/>
                <w:color w:val="000000"/>
              </w:rPr>
              <w:t>; </w:t>
            </w:r>
            <w:r w:rsidRPr="00364CF8">
              <w:rPr>
                <w:rFonts w:ascii="Arial" w:hAnsi="Arial" w:cs="Arial"/>
              </w:rPr>
              <w:t>Kareiva, Aivaras</w:t>
            </w:r>
            <w:r w:rsidRPr="00364CF8">
              <w:rPr>
                <w:rFonts w:ascii="Arial" w:hAnsi="Arial" w:cs="Arial"/>
                <w:color w:val="000000"/>
              </w:rPr>
              <w:t xml:space="preserve">. Membrane-assisted synthesis of selected mixed-metal ferrite </w:t>
            </w:r>
            <w:r w:rsidRPr="00364CF8">
              <w:rPr>
                <w:rFonts w:ascii="Arial" w:hAnsi="Arial" w:cs="Arial"/>
                <w:color w:val="000000"/>
              </w:rPr>
              <w:lastRenderedPageBreak/>
              <w:t>nanotubes using sol-gel derived precursors // Solid state sciences. Amsterdam : Elsevier BV. ISSN 1293-2558. eISSN 1873-3085. 2022, vol. 132, art. no. 106983, p. 1-10.  DOI: </w:t>
            </w:r>
            <w:hyperlink r:id="rId10" w:tgtFrame="_blank" w:history="1">
              <w:r w:rsidRPr="00364CF8">
                <w:rPr>
                  <w:rStyle w:val="Hyperlink"/>
                  <w:rFonts w:ascii="Arial" w:hAnsi="Arial" w:cs="Arial"/>
                </w:rPr>
                <w:t>10.1016/j.solidstatesciences.2022.106983</w:t>
              </w:r>
            </w:hyperlink>
            <w:r w:rsidRPr="00364CF8">
              <w:rPr>
                <w:rFonts w:ascii="Arial" w:hAnsi="Arial" w:cs="Arial"/>
                <w:color w:val="000000"/>
              </w:rPr>
              <w:t>.</w:t>
            </w:r>
          </w:p>
          <w:p w:rsidR="00364CF8" w:rsidRPr="00364CF8" w:rsidRDefault="00364CF8" w:rsidP="00401084">
            <w:pPr>
              <w:jc w:val="both"/>
              <w:rPr>
                <w:rFonts w:ascii="Arial" w:hAnsi="Arial" w:cs="Arial"/>
                <w:color w:val="000000"/>
              </w:rPr>
            </w:pPr>
            <w:r>
              <w:rPr>
                <w:rFonts w:ascii="Arial" w:hAnsi="Arial" w:cs="Arial"/>
                <w:color w:val="000000"/>
              </w:rPr>
              <w:t xml:space="preserve">3. </w:t>
            </w:r>
            <w:r w:rsidRPr="00364CF8">
              <w:rPr>
                <w:rFonts w:ascii="Arial" w:hAnsi="Arial" w:cs="Arial"/>
                <w:color w:val="000000"/>
              </w:rPr>
              <w:t>Garškaitė, Edita; Estevez, Maria M.; Bystrom, Alexandra; Forsth, Michael; Stankevičiūtė, Živilė; Sokol, Denis; Steele, Matthew; Sandberg, Dick. Studying the application of fish-farming net-cleaning waste as fire-retardant for Scots pine (Pinus sylvestris L.) sapwood // EFB bioeconomy journal : Elsevier. ISSN 2667-0410. 2022, vol. 2, art. no. 100025, p. [1-12]. DOI: </w:t>
            </w:r>
            <w:hyperlink r:id="rId11" w:tgtFrame="_blank" w:history="1">
              <w:r w:rsidRPr="00364CF8">
                <w:rPr>
                  <w:rStyle w:val="Hyperlink"/>
                  <w:rFonts w:ascii="Arial" w:hAnsi="Arial" w:cs="Arial"/>
                </w:rPr>
                <w:t>10.1016/j.bioeco.2022.100025</w:t>
              </w:r>
            </w:hyperlink>
            <w:r w:rsidRPr="00364CF8">
              <w:rPr>
                <w:rFonts w:ascii="Arial" w:hAnsi="Arial" w:cs="Arial"/>
                <w:color w:val="000000"/>
              </w:rPr>
              <w:t>.</w:t>
            </w:r>
          </w:p>
          <w:p w:rsidR="00364CF8" w:rsidRPr="00364CF8" w:rsidRDefault="00364CF8" w:rsidP="00401084">
            <w:pPr>
              <w:jc w:val="both"/>
              <w:rPr>
                <w:rFonts w:ascii="Arial" w:hAnsi="Arial" w:cs="Arial"/>
                <w:color w:val="000000"/>
              </w:rPr>
            </w:pPr>
            <w:r>
              <w:rPr>
                <w:rFonts w:ascii="Arial" w:hAnsi="Arial" w:cs="Arial"/>
                <w:color w:val="000000"/>
              </w:rPr>
              <w:t xml:space="preserve">4. </w:t>
            </w:r>
            <w:r w:rsidRPr="00364CF8">
              <w:rPr>
                <w:rFonts w:ascii="Arial" w:hAnsi="Arial" w:cs="Arial"/>
                <w:color w:val="000000"/>
              </w:rPr>
              <w:t>Inkrataitė, Greta; Stankevičiūtė, Živilė; Skaudžius, Ramūnas. Determination of different garnet films characteristics prepared via sol-gel spin or dip-coatings techniques // Journal of luminescence. Amsterdam : Elsevier Science BV. ISSN 0022-2313. eISSN 1872-7883. 2022, vol. 244, art. no. 118751, p. [1-9]. DOI: </w:t>
            </w:r>
            <w:hyperlink r:id="rId12" w:tgtFrame="_blank" w:history="1">
              <w:r w:rsidRPr="00364CF8">
                <w:rPr>
                  <w:rStyle w:val="Hyperlink"/>
                  <w:rFonts w:ascii="Arial" w:hAnsi="Arial" w:cs="Arial"/>
                </w:rPr>
                <w:t>10.1016/j.jlumin.2022.118751</w:t>
              </w:r>
            </w:hyperlink>
            <w:r w:rsidRPr="00364CF8">
              <w:rPr>
                <w:rFonts w:ascii="Arial" w:hAnsi="Arial" w:cs="Arial"/>
                <w:color w:val="000000"/>
              </w:rPr>
              <w:t>.</w:t>
            </w:r>
          </w:p>
          <w:p w:rsidR="00364CF8" w:rsidRPr="00364CF8" w:rsidRDefault="00364CF8" w:rsidP="00401084">
            <w:pPr>
              <w:jc w:val="both"/>
              <w:rPr>
                <w:rFonts w:ascii="Arial" w:hAnsi="Arial" w:cs="Arial"/>
              </w:rPr>
            </w:pPr>
            <w:r>
              <w:rPr>
                <w:rFonts w:ascii="Arial" w:hAnsi="Arial" w:cs="Arial"/>
              </w:rPr>
              <w:t xml:space="preserve">5. </w:t>
            </w:r>
            <w:r w:rsidRPr="00364CF8">
              <w:rPr>
                <w:rFonts w:ascii="Arial" w:hAnsi="Arial" w:cs="Arial"/>
              </w:rPr>
              <w:t>Januškevičius, Justinas; Stankevičiūtė, Živilė; Baltrūnas, Dalis Antanas; Mažeika, Kęstutis; Beganskienė, Aldona; Kareiva, Aivaras. Aqueous sol-gel synthesis of different iron ferrites: from 3D to 2D // Materials: special issue: Innovative technologies and materials for coatings and surface treatments. Basel : MDPI. eISSN 1996-1944. 2021, vol. 14, art. no. 1554, p. [1-12]. DOI: </w:t>
            </w:r>
            <w:hyperlink r:id="rId13" w:tgtFrame="_blank" w:history="1">
              <w:r w:rsidRPr="00364CF8">
                <w:rPr>
                  <w:rStyle w:val="Hyperlink"/>
                  <w:rFonts w:ascii="Arial" w:hAnsi="Arial" w:cs="Arial"/>
                </w:rPr>
                <w:t>10.3390/ma14061554</w:t>
              </w:r>
            </w:hyperlink>
            <w:r w:rsidRPr="00364CF8">
              <w:rPr>
                <w:rFonts w:ascii="Arial" w:hAnsi="Arial" w:cs="Arial"/>
              </w:rPr>
              <w:t>.</w:t>
            </w:r>
          </w:p>
          <w:p w:rsidR="00364CF8" w:rsidRPr="00364CF8" w:rsidRDefault="00364CF8" w:rsidP="00364CF8">
            <w:pPr>
              <w:rPr>
                <w:rFonts w:ascii="Arial" w:hAnsi="Arial" w:cs="Arial"/>
              </w:rPr>
            </w:pPr>
          </w:p>
        </w:tc>
      </w:tr>
    </w:tbl>
    <w:p w:rsidR="002D3C12" w:rsidRPr="00FE5FAD" w:rsidRDefault="002D3C12">
      <w:pPr>
        <w:rPr>
          <w:rFonts w:ascii="Arial" w:hAnsi="Arial" w:cs="Arial"/>
          <w:lang w:val="lt-LT"/>
        </w:rPr>
      </w:pPr>
    </w:p>
    <w:p w:rsidR="009065B8" w:rsidRPr="00FE5FAD" w:rsidRDefault="009065B8">
      <w:pPr>
        <w:rPr>
          <w:rFonts w:ascii="Arial" w:hAnsi="Arial" w:cs="Arial"/>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E7D57" w:rsidRPr="0060312D" w:rsidTr="00231266">
        <w:tc>
          <w:tcPr>
            <w:tcW w:w="9322" w:type="dxa"/>
          </w:tcPr>
          <w:p w:rsidR="009E7D57" w:rsidRPr="0060312D" w:rsidRDefault="009E7D57" w:rsidP="00231266">
            <w:pPr>
              <w:jc w:val="both"/>
              <w:rPr>
                <w:rFonts w:ascii="Arial" w:hAnsi="Arial" w:cs="Arial"/>
                <w:lang w:val="lt-LT"/>
              </w:rPr>
            </w:pPr>
            <w:r w:rsidRPr="0060312D">
              <w:rPr>
                <w:rFonts w:ascii="Arial" w:hAnsi="Arial" w:cs="Arial"/>
              </w:rPr>
              <w:t xml:space="preserve">Certified during </w:t>
            </w:r>
            <w:r>
              <w:rPr>
                <w:rFonts w:ascii="Arial" w:hAnsi="Arial" w:cs="Arial"/>
              </w:rPr>
              <w:t xml:space="preserve">the </w:t>
            </w:r>
            <w:r w:rsidRPr="0060312D">
              <w:rPr>
                <w:rFonts w:ascii="Arial" w:hAnsi="Arial" w:cs="Arial"/>
              </w:rPr>
              <w:t>Doctoral Committee session</w:t>
            </w:r>
            <w:r w:rsidRPr="0060312D">
              <w:rPr>
                <w:rFonts w:ascii="Arial" w:hAnsi="Arial" w:cs="Arial"/>
                <w:lang w:val="lt-LT"/>
              </w:rPr>
              <w:t xml:space="preserve"> on </w:t>
            </w:r>
            <w:r>
              <w:rPr>
                <w:rFonts w:ascii="Arial" w:hAnsi="Arial" w:cs="Arial"/>
                <w:lang w:val="lt-LT"/>
              </w:rPr>
              <w:t>January</w:t>
            </w:r>
            <w:r w:rsidRPr="0060312D">
              <w:rPr>
                <w:rFonts w:ascii="Arial" w:hAnsi="Arial" w:cs="Arial"/>
                <w:lang w:val="lt-LT"/>
              </w:rPr>
              <w:t xml:space="preserve"> 2</w:t>
            </w:r>
            <w:r>
              <w:rPr>
                <w:rFonts w:ascii="Arial" w:hAnsi="Arial" w:cs="Arial"/>
                <w:lang w:val="lt-LT"/>
              </w:rPr>
              <w:t>0</w:t>
            </w:r>
            <w:r w:rsidRPr="0060312D">
              <w:rPr>
                <w:rFonts w:ascii="Arial" w:hAnsi="Arial" w:cs="Arial"/>
                <w:vertAlign w:val="superscript"/>
                <w:lang w:val="lt-LT"/>
              </w:rPr>
              <w:t>th</w:t>
            </w:r>
            <w:r w:rsidRPr="0060312D">
              <w:rPr>
                <w:rFonts w:ascii="Arial" w:hAnsi="Arial" w:cs="Arial"/>
                <w:lang w:val="lt-LT"/>
              </w:rPr>
              <w:t>, 202</w:t>
            </w:r>
            <w:r>
              <w:rPr>
                <w:rFonts w:ascii="Arial" w:hAnsi="Arial" w:cs="Arial"/>
                <w:lang w:val="lt-LT"/>
              </w:rPr>
              <w:t>6</w:t>
            </w:r>
            <w:r w:rsidRPr="0060312D">
              <w:rPr>
                <w:rFonts w:ascii="Arial" w:hAnsi="Arial" w:cs="Arial"/>
                <w:lang w:val="lt-LT"/>
              </w:rPr>
              <w:t>. Protocol No. </w:t>
            </w:r>
            <w:r w:rsidRPr="009E7D57">
              <w:rPr>
                <w:rFonts w:ascii="Arial" w:hAnsi="Arial" w:cs="Arial"/>
                <w:lang w:val="lt-LT"/>
              </w:rPr>
              <w:t>15600-KT-</w:t>
            </w:r>
            <w:r w:rsidR="00042C5A">
              <w:rPr>
                <w:rFonts w:ascii="Arial" w:hAnsi="Arial" w:cs="Arial"/>
                <w:lang w:val="lt-LT"/>
              </w:rPr>
              <w:t>228.</w:t>
            </w:r>
          </w:p>
        </w:tc>
      </w:tr>
      <w:tr w:rsidR="009E7D57" w:rsidRPr="0060312D" w:rsidTr="00231266">
        <w:tc>
          <w:tcPr>
            <w:tcW w:w="9322" w:type="dxa"/>
          </w:tcPr>
          <w:p w:rsidR="009E7D57" w:rsidRPr="0060312D" w:rsidRDefault="009E7D57" w:rsidP="00231266">
            <w:pPr>
              <w:rPr>
                <w:rFonts w:ascii="Arial" w:hAnsi="Arial" w:cs="Arial"/>
                <w:lang w:val="lt-LT"/>
              </w:rPr>
            </w:pPr>
            <w:r w:rsidRPr="0060312D">
              <w:rPr>
                <w:rFonts w:ascii="Arial" w:hAnsi="Arial" w:cs="Arial"/>
              </w:rPr>
              <w:t>Committee Chairman</w:t>
            </w:r>
            <w:r w:rsidRPr="0060312D">
              <w:rPr>
                <w:rFonts w:ascii="Arial" w:hAnsi="Arial" w:cs="Arial"/>
                <w:lang w:val="lt-LT"/>
              </w:rPr>
              <w:t xml:space="preserve"> </w:t>
            </w:r>
            <w:r>
              <w:rPr>
                <w:rFonts w:ascii="Arial" w:hAnsi="Arial" w:cs="Arial"/>
                <w:lang w:val="lt-LT"/>
              </w:rPr>
              <w:t>Prof</w:t>
            </w:r>
            <w:r w:rsidRPr="0060312D">
              <w:rPr>
                <w:rFonts w:ascii="Arial" w:hAnsi="Arial" w:cs="Arial"/>
                <w:lang w:val="lt-LT"/>
              </w:rPr>
              <w:t xml:space="preserve">. habil. dr. </w:t>
            </w:r>
            <w:r>
              <w:rPr>
                <w:rFonts w:ascii="Arial" w:hAnsi="Arial" w:cs="Arial"/>
                <w:lang w:val="lt-LT"/>
              </w:rPr>
              <w:t>Audrius Padarauskas.</w:t>
            </w:r>
          </w:p>
        </w:tc>
      </w:tr>
    </w:tbl>
    <w:p w:rsidR="0059419A" w:rsidRDefault="0059419A" w:rsidP="00A2649E">
      <w:pPr>
        <w:rPr>
          <w:rFonts w:ascii="Arial" w:hAnsi="Arial" w:cs="Arial"/>
          <w:lang w:val="lt-LT"/>
        </w:rPr>
      </w:pPr>
    </w:p>
    <w:sectPr w:rsidR="0059419A" w:rsidSect="0059419A">
      <w:pgSz w:w="11906" w:h="16838"/>
      <w:pgMar w:top="1134"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7B04"/>
    <w:multiLevelType w:val="hybridMultilevel"/>
    <w:tmpl w:val="A350C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E83C5C"/>
    <w:multiLevelType w:val="hybridMultilevel"/>
    <w:tmpl w:val="B3A450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A7157"/>
    <w:multiLevelType w:val="singleLevel"/>
    <w:tmpl w:val="AFDE6A0E"/>
    <w:lvl w:ilvl="0">
      <w:start w:val="1"/>
      <w:numFmt w:val="decimal"/>
      <w:lvlText w:val="%1."/>
      <w:lvlJc w:val="left"/>
      <w:pPr>
        <w:tabs>
          <w:tab w:val="num" w:pos="360"/>
        </w:tabs>
        <w:ind w:left="360" w:hanging="360"/>
      </w:pPr>
      <w:rPr>
        <w:rFonts w:cs="Times New Roman" w:hint="default"/>
        <w:b w:val="0"/>
        <w:i w:val="0"/>
        <w:sz w:val="20"/>
        <w:szCs w:val="20"/>
        <w:vertAlign w:val="baseline"/>
      </w:rPr>
    </w:lvl>
  </w:abstractNum>
  <w:abstractNum w:abstractNumId="3" w15:restartNumberingAfterBreak="0">
    <w:nsid w:val="339C318C"/>
    <w:multiLevelType w:val="hybridMultilevel"/>
    <w:tmpl w:val="A698A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057E2"/>
    <w:multiLevelType w:val="singleLevel"/>
    <w:tmpl w:val="9F7269A6"/>
    <w:lvl w:ilvl="0">
      <w:start w:val="1"/>
      <w:numFmt w:val="decimal"/>
      <w:lvlText w:val="%1."/>
      <w:lvlJc w:val="left"/>
      <w:pPr>
        <w:tabs>
          <w:tab w:val="num" w:pos="432"/>
        </w:tabs>
        <w:ind w:left="432" w:hanging="432"/>
      </w:pPr>
      <w:rPr>
        <w:rFonts w:hint="default"/>
      </w:rPr>
    </w:lvl>
  </w:abstractNum>
  <w:abstractNum w:abstractNumId="5" w15:restartNumberingAfterBreak="0">
    <w:nsid w:val="3A5C08DE"/>
    <w:multiLevelType w:val="hybridMultilevel"/>
    <w:tmpl w:val="A350C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110049"/>
    <w:multiLevelType w:val="hybridMultilevel"/>
    <w:tmpl w:val="0798D0BA"/>
    <w:lvl w:ilvl="0" w:tplc="002A8E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A002E"/>
    <w:multiLevelType w:val="hybridMultilevel"/>
    <w:tmpl w:val="9462F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67608"/>
    <w:multiLevelType w:val="hybridMultilevel"/>
    <w:tmpl w:val="9462F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941BD"/>
    <w:multiLevelType w:val="hybridMultilevel"/>
    <w:tmpl w:val="A350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F612F"/>
    <w:multiLevelType w:val="hybridMultilevel"/>
    <w:tmpl w:val="0BD434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35078C"/>
    <w:multiLevelType w:val="hybridMultilevel"/>
    <w:tmpl w:val="D58E2B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3706273"/>
    <w:multiLevelType w:val="hybridMultilevel"/>
    <w:tmpl w:val="6852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63993"/>
    <w:multiLevelType w:val="singleLevel"/>
    <w:tmpl w:val="1A42DB2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num w:numId="1">
    <w:abstractNumId w:val="11"/>
  </w:num>
  <w:num w:numId="2">
    <w:abstractNumId w:val="1"/>
  </w:num>
  <w:num w:numId="3">
    <w:abstractNumId w:val="6"/>
  </w:num>
  <w:num w:numId="4">
    <w:abstractNumId w:val="3"/>
  </w:num>
  <w:num w:numId="5">
    <w:abstractNumId w:val="10"/>
  </w:num>
  <w:num w:numId="6">
    <w:abstractNumId w:val="7"/>
  </w:num>
  <w:num w:numId="7">
    <w:abstractNumId w:val="8"/>
  </w:num>
  <w:num w:numId="8">
    <w:abstractNumId w:val="2"/>
  </w:num>
  <w:num w:numId="9">
    <w:abstractNumId w:val="12"/>
  </w:num>
  <w:num w:numId="10">
    <w:abstractNumId w:val="4"/>
  </w:num>
  <w:num w:numId="11">
    <w:abstractNumId w:val="13"/>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7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4F"/>
    <w:rsid w:val="00042C5A"/>
    <w:rsid w:val="000B4791"/>
    <w:rsid w:val="000D08A5"/>
    <w:rsid w:val="00165E75"/>
    <w:rsid w:val="001C0093"/>
    <w:rsid w:val="00206379"/>
    <w:rsid w:val="00231266"/>
    <w:rsid w:val="00232DE2"/>
    <w:rsid w:val="002D3C12"/>
    <w:rsid w:val="002F06EA"/>
    <w:rsid w:val="003020A6"/>
    <w:rsid w:val="0032414F"/>
    <w:rsid w:val="00364CF8"/>
    <w:rsid w:val="00387617"/>
    <w:rsid w:val="003E0BE2"/>
    <w:rsid w:val="00401084"/>
    <w:rsid w:val="004940F5"/>
    <w:rsid w:val="004C45AE"/>
    <w:rsid w:val="004F4B4F"/>
    <w:rsid w:val="0056629A"/>
    <w:rsid w:val="0056749F"/>
    <w:rsid w:val="0059419A"/>
    <w:rsid w:val="005A243D"/>
    <w:rsid w:val="005D26CD"/>
    <w:rsid w:val="00654E78"/>
    <w:rsid w:val="006B4475"/>
    <w:rsid w:val="006F71D2"/>
    <w:rsid w:val="00745232"/>
    <w:rsid w:val="0075459B"/>
    <w:rsid w:val="00802966"/>
    <w:rsid w:val="008A3B24"/>
    <w:rsid w:val="009065B8"/>
    <w:rsid w:val="009769C9"/>
    <w:rsid w:val="009844CC"/>
    <w:rsid w:val="009E7D57"/>
    <w:rsid w:val="00A2649E"/>
    <w:rsid w:val="00A35093"/>
    <w:rsid w:val="00A702B5"/>
    <w:rsid w:val="00BD6403"/>
    <w:rsid w:val="00D83738"/>
    <w:rsid w:val="00DF060D"/>
    <w:rsid w:val="00E42DE5"/>
    <w:rsid w:val="00E60FDB"/>
    <w:rsid w:val="00F00A7D"/>
    <w:rsid w:val="00F51977"/>
    <w:rsid w:val="00F5586B"/>
    <w:rsid w:val="00F80CE6"/>
    <w:rsid w:val="00FB5C75"/>
    <w:rsid w:val="00FE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68E6B8-D6F8-49D5-935D-4408ED6D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lt-LT"/>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E78"/>
    <w:rPr>
      <w:rFonts w:ascii="Tahoma" w:hAnsi="Tahoma" w:cs="Tahoma"/>
      <w:sz w:val="16"/>
      <w:szCs w:val="16"/>
    </w:rPr>
  </w:style>
  <w:style w:type="character" w:customStyle="1" w:styleId="BalloonTextChar">
    <w:name w:val="Balloon Text Char"/>
    <w:link w:val="BalloonText"/>
    <w:uiPriority w:val="99"/>
    <w:semiHidden/>
    <w:rsid w:val="00654E78"/>
    <w:rPr>
      <w:rFonts w:ascii="Tahoma" w:hAnsi="Tahoma" w:cs="Tahoma"/>
      <w:sz w:val="16"/>
      <w:szCs w:val="16"/>
      <w:lang w:val="en-GB"/>
    </w:rPr>
  </w:style>
  <w:style w:type="paragraph" w:styleId="Header">
    <w:name w:val="header"/>
    <w:basedOn w:val="Normal"/>
    <w:link w:val="HeaderChar"/>
    <w:rsid w:val="009065B8"/>
    <w:pPr>
      <w:tabs>
        <w:tab w:val="center" w:pos="4153"/>
        <w:tab w:val="right" w:pos="8306"/>
      </w:tabs>
    </w:pPr>
    <w:rPr>
      <w:rFonts w:eastAsia="MS Mincho"/>
      <w:lang w:val="en-US" w:eastAsia="ja-JP"/>
    </w:rPr>
  </w:style>
  <w:style w:type="character" w:customStyle="1" w:styleId="HeaderChar">
    <w:name w:val="Header Char"/>
    <w:link w:val="Header"/>
    <w:rsid w:val="009065B8"/>
    <w:rPr>
      <w:rFonts w:eastAsia="MS Mincho"/>
      <w:lang w:eastAsia="ja-JP"/>
    </w:rPr>
  </w:style>
  <w:style w:type="paragraph" w:styleId="ListParagraph">
    <w:name w:val="List Paragraph"/>
    <w:basedOn w:val="Normal"/>
    <w:uiPriority w:val="34"/>
    <w:qFormat/>
    <w:rsid w:val="009065B8"/>
    <w:pPr>
      <w:ind w:left="720"/>
      <w:contextualSpacing/>
    </w:pPr>
    <w:rPr>
      <w:sz w:val="24"/>
      <w:szCs w:val="24"/>
      <w:lang w:val="lt-LT"/>
    </w:rPr>
  </w:style>
  <w:style w:type="character" w:customStyle="1" w:styleId="product-banner-author-name">
    <w:name w:val="product-banner-author-name"/>
    <w:rsid w:val="009065B8"/>
  </w:style>
  <w:style w:type="character" w:customStyle="1" w:styleId="display-label">
    <w:name w:val="display-label"/>
    <w:rsid w:val="009065B8"/>
  </w:style>
  <w:style w:type="character" w:customStyle="1" w:styleId="product-ryt-detail">
    <w:name w:val="product-ryt-detail"/>
    <w:rsid w:val="009065B8"/>
  </w:style>
  <w:style w:type="character" w:styleId="Hyperlink">
    <w:name w:val="Hyperlink"/>
    <w:uiPriority w:val="99"/>
    <w:unhideWhenUsed/>
    <w:rsid w:val="009065B8"/>
    <w:rPr>
      <w:color w:val="0000FF"/>
      <w:u w:val="single"/>
    </w:rPr>
  </w:style>
  <w:style w:type="character" w:customStyle="1" w:styleId="addmd">
    <w:name w:val="addmd"/>
    <w:rsid w:val="009065B8"/>
  </w:style>
  <w:style w:type="character" w:customStyle="1" w:styleId="title-text">
    <w:name w:val="title-text"/>
    <w:rsid w:val="009065B8"/>
  </w:style>
  <w:style w:type="character" w:customStyle="1" w:styleId="text">
    <w:name w:val="text"/>
    <w:rsid w:val="009065B8"/>
  </w:style>
  <w:style w:type="character" w:customStyle="1" w:styleId="jlqj4b">
    <w:name w:val="jlqj4b"/>
    <w:rsid w:val="009065B8"/>
  </w:style>
  <w:style w:type="character" w:styleId="Emphasis">
    <w:name w:val="Emphasis"/>
    <w:uiPriority w:val="20"/>
    <w:qFormat/>
    <w:rsid w:val="009065B8"/>
    <w:rPr>
      <w:i/>
      <w:iCs/>
    </w:rPr>
  </w:style>
  <w:style w:type="character" w:customStyle="1" w:styleId="infolabel">
    <w:name w:val="info_label"/>
    <w:rsid w:val="009065B8"/>
  </w:style>
  <w:style w:type="character" w:customStyle="1" w:styleId="infovalue">
    <w:name w:val="info_value"/>
    <w:rsid w:val="009065B8"/>
  </w:style>
  <w:style w:type="paragraph" w:styleId="NoSpacing">
    <w:name w:val="No Spacing"/>
    <w:uiPriority w:val="1"/>
    <w:qFormat/>
    <w:rsid w:val="0059419A"/>
    <w:rPr>
      <w:lang w:val="en-GB" w:eastAsia="lt-LT"/>
    </w:rPr>
  </w:style>
  <w:style w:type="character" w:styleId="CommentReference">
    <w:name w:val="annotation reference"/>
    <w:uiPriority w:val="99"/>
    <w:semiHidden/>
    <w:unhideWhenUsed/>
    <w:rsid w:val="004C45AE"/>
    <w:rPr>
      <w:sz w:val="16"/>
      <w:szCs w:val="16"/>
    </w:rPr>
  </w:style>
  <w:style w:type="paragraph" w:styleId="CommentText">
    <w:name w:val="annotation text"/>
    <w:basedOn w:val="Normal"/>
    <w:link w:val="CommentTextChar"/>
    <w:uiPriority w:val="99"/>
    <w:semiHidden/>
    <w:unhideWhenUsed/>
    <w:rsid w:val="004C45AE"/>
  </w:style>
  <w:style w:type="character" w:customStyle="1" w:styleId="CommentTextChar">
    <w:name w:val="Comment Text Char"/>
    <w:link w:val="CommentText"/>
    <w:uiPriority w:val="99"/>
    <w:semiHidden/>
    <w:rsid w:val="004C45AE"/>
    <w:rPr>
      <w:lang w:val="en-GB"/>
    </w:rPr>
  </w:style>
  <w:style w:type="paragraph" w:styleId="CommentSubject">
    <w:name w:val="annotation subject"/>
    <w:basedOn w:val="CommentText"/>
    <w:next w:val="CommentText"/>
    <w:link w:val="CommentSubjectChar"/>
    <w:uiPriority w:val="99"/>
    <w:semiHidden/>
    <w:unhideWhenUsed/>
    <w:rsid w:val="004C45AE"/>
    <w:rPr>
      <w:b/>
      <w:bCs/>
    </w:rPr>
  </w:style>
  <w:style w:type="character" w:customStyle="1" w:styleId="CommentSubjectChar">
    <w:name w:val="Comment Subject Char"/>
    <w:link w:val="CommentSubject"/>
    <w:uiPriority w:val="99"/>
    <w:semiHidden/>
    <w:rsid w:val="004C45AE"/>
    <w:rPr>
      <w:b/>
      <w:bCs/>
      <w:lang w:val="en-GB"/>
    </w:rPr>
  </w:style>
  <w:style w:type="character" w:customStyle="1" w:styleId="hithilite">
    <w:name w:val="hithilite"/>
    <w:rsid w:val="009769C9"/>
    <w:rPr>
      <w:rFonts w:cs="Times New Roman"/>
    </w:rPr>
  </w:style>
  <w:style w:type="character" w:customStyle="1" w:styleId="frlabel1">
    <w:name w:val="fr_label1"/>
    <w:rsid w:val="00566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 TargetMode="External"/><Relationship Id="rId13" Type="http://schemas.openxmlformats.org/officeDocument/2006/relationships/hyperlink" Target="https://doi.org/10.3390/ma14061554" TargetMode="External"/><Relationship Id="rId3" Type="http://schemas.openxmlformats.org/officeDocument/2006/relationships/styles" Target="styles.xml"/><Relationship Id="rId7" Type="http://schemas.openxmlformats.org/officeDocument/2006/relationships/hyperlink" Target="https://www.lmt.lt/lt" TargetMode="External"/><Relationship Id="rId12" Type="http://schemas.openxmlformats.org/officeDocument/2006/relationships/hyperlink" Target="https://doi.org/10.1016/j.jlumin.2022.1187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info/research-and-innovation/funding/funding-opportunities/funding-programmes-and-open-calls/horizon-europe_en" TargetMode="External"/><Relationship Id="rId11" Type="http://schemas.openxmlformats.org/officeDocument/2006/relationships/hyperlink" Target="https://doi.org/10.1016/j.bioeco.2022.100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solidstatesciences.2022.106983" TargetMode="External"/><Relationship Id="rId4" Type="http://schemas.openxmlformats.org/officeDocument/2006/relationships/settings" Target="settings.xml"/><Relationship Id="rId9" Type="http://schemas.openxmlformats.org/officeDocument/2006/relationships/hyperlink" Target="https://doi.org/10.1016/j.bioeco.2022.100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1885-B037-4A12-99C3-31647953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DOKTORANTŪROS STUDIJŲ KURSO PROGRAMA</vt:lpstr>
      <vt:lpstr>DOKTORANTŪROS STUDIJŲ KURSO PROGRAMA</vt:lpstr>
    </vt:vector>
  </TitlesOfParts>
  <Company>VU Filologijos fakultetas</Company>
  <LinksUpToDate>false</LinksUpToDate>
  <CharactersWithSpaces>8405</CharactersWithSpaces>
  <SharedDoc>false</SharedDoc>
  <HLinks>
    <vt:vector size="48" baseType="variant">
      <vt:variant>
        <vt:i4>7995441</vt:i4>
      </vt:variant>
      <vt:variant>
        <vt:i4>21</vt:i4>
      </vt:variant>
      <vt:variant>
        <vt:i4>0</vt:i4>
      </vt:variant>
      <vt:variant>
        <vt:i4>5</vt:i4>
      </vt:variant>
      <vt:variant>
        <vt:lpwstr>https://doi.org/10.3390/ma14061554</vt:lpwstr>
      </vt:variant>
      <vt:variant>
        <vt:lpwstr/>
      </vt:variant>
      <vt:variant>
        <vt:i4>4849744</vt:i4>
      </vt:variant>
      <vt:variant>
        <vt:i4>18</vt:i4>
      </vt:variant>
      <vt:variant>
        <vt:i4>0</vt:i4>
      </vt:variant>
      <vt:variant>
        <vt:i4>5</vt:i4>
      </vt:variant>
      <vt:variant>
        <vt:lpwstr>https://doi.org/10.1016/j.jlumin.2022.118751</vt:lpwstr>
      </vt:variant>
      <vt:variant>
        <vt:lpwstr/>
      </vt:variant>
      <vt:variant>
        <vt:i4>4456519</vt:i4>
      </vt:variant>
      <vt:variant>
        <vt:i4>15</vt:i4>
      </vt:variant>
      <vt:variant>
        <vt:i4>0</vt:i4>
      </vt:variant>
      <vt:variant>
        <vt:i4>5</vt:i4>
      </vt:variant>
      <vt:variant>
        <vt:lpwstr>https://doi.org/10.1016/j.bioeco.2022.100025</vt:lpwstr>
      </vt:variant>
      <vt:variant>
        <vt:lpwstr/>
      </vt:variant>
      <vt:variant>
        <vt:i4>5177423</vt:i4>
      </vt:variant>
      <vt:variant>
        <vt:i4>12</vt:i4>
      </vt:variant>
      <vt:variant>
        <vt:i4>0</vt:i4>
      </vt:variant>
      <vt:variant>
        <vt:i4>5</vt:i4>
      </vt:variant>
      <vt:variant>
        <vt:lpwstr>https://doi.org/10.1016/j.solidstatesciences.2022.106983</vt:lpwstr>
      </vt:variant>
      <vt:variant>
        <vt:lpwstr/>
      </vt:variant>
      <vt:variant>
        <vt:i4>4456519</vt:i4>
      </vt:variant>
      <vt:variant>
        <vt:i4>9</vt:i4>
      </vt:variant>
      <vt:variant>
        <vt:i4>0</vt:i4>
      </vt:variant>
      <vt:variant>
        <vt:i4>5</vt:i4>
      </vt:variant>
      <vt:variant>
        <vt:lpwstr>https://doi.org/10.1016/j.bioeco.2022.100025</vt:lpwstr>
      </vt:variant>
      <vt:variant>
        <vt:lpwstr/>
      </vt:variant>
      <vt:variant>
        <vt:i4>8192124</vt:i4>
      </vt:variant>
      <vt:variant>
        <vt:i4>6</vt:i4>
      </vt:variant>
      <vt:variant>
        <vt:i4>0</vt:i4>
      </vt:variant>
      <vt:variant>
        <vt:i4>5</vt:i4>
      </vt:variant>
      <vt:variant>
        <vt:lpwstr>https://www.esinvesticijos.lt/</vt:lpwstr>
      </vt:variant>
      <vt:variant>
        <vt:lpwstr/>
      </vt:variant>
      <vt:variant>
        <vt:i4>1245211</vt:i4>
      </vt:variant>
      <vt:variant>
        <vt:i4>3</vt:i4>
      </vt:variant>
      <vt:variant>
        <vt:i4>0</vt:i4>
      </vt:variant>
      <vt:variant>
        <vt:i4>5</vt:i4>
      </vt:variant>
      <vt:variant>
        <vt:lpwstr>https://www.lmt.lt/lt</vt:lpwstr>
      </vt:variant>
      <vt:variant>
        <vt:lpwstr/>
      </vt:variant>
      <vt:variant>
        <vt:i4>7012355</vt:i4>
      </vt:variant>
      <vt:variant>
        <vt:i4>0</vt:i4>
      </vt:variant>
      <vt:variant>
        <vt:i4>0</vt:i4>
      </vt:variant>
      <vt:variant>
        <vt:i4>5</vt:i4>
      </vt:variant>
      <vt:variant>
        <vt:lpwstr>https://ec.europa.eu/info/research-and-innovation/funding/funding-opportunities/funding-programmes-and-open-calls/horizon-europe_en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DOKTORANTŪROS STUDIJŲ KURSO PROGRAMA</dc:title>
  <dc:subject/>
  <dc:creator>VU Fil. fak.</dc:creator>
  <cp:keywords/>
  <cp:lastModifiedBy>Aleksandra Prichodko</cp:lastModifiedBy>
  <cp:revision>2</cp:revision>
  <cp:lastPrinted>2012-04-27T08:36:00Z</cp:lastPrinted>
  <dcterms:created xsi:type="dcterms:W3CDTF">2026-01-20T20:10:00Z</dcterms:created>
  <dcterms:modified xsi:type="dcterms:W3CDTF">2026-01-20T20:10:00Z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30dad6db-7883-4d0a-b506-a7a0103bed7e</vt:lpwstr>
  </property>
</Properties>
</file>